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AUTHORIZATIONS</w:t>
      </w:r>
    </w:p>
    <w:p>
      <w:pPr>
        <w:spacing w:before="0" w:after="0"/>
        <w:ind w:left="120"/>
        <w:jc w:val="center"/>
      </w:pPr>
      <w:r>
        <w:rPr>
          <w:rFonts w:ascii="Times New Roman" w:hAnsi="Times New Roman"/>
          <w:b w:val="false"/>
          <w:i w:val="false"/>
          <w:color w:val="000000"/>
          <w:sz w:val="14"/>
        </w:rPr>
        <w:t>[Prior to 1/14/09, see Educational Examiners Board[282] Ch 19]</w:t>
      </w:r>
    </w:p>
    <w:p>
      <w:pPr>
        <w:spacing w:before="0" w:after="0"/>
        <w:ind w:left="120"/>
        <w:jc w:val="both"/>
      </w:pPr>
      <w:r>
        <w:rPr>
          <w:rFonts w:ascii="Times New Roman" w:hAnsi="Times New Roman"/>
          <w:b/>
          <w:i w:val="false"/>
          <w:color w:val="000000"/>
          <w:sz w:val="22"/>
        </w:rPr>
        <w:t>282—22.1</w:t>
      </w:r>
      <w:r>
        <w:rPr>
          <w:rFonts w:ascii="Times New Roman" w:hAnsi="Times New Roman"/>
          <w:b/>
          <w:i w:val="false"/>
          <w:color w:val="000000"/>
          <w:sz w:val="22"/>
        </w:rPr>
        <w:t xml:space="preserve">(272) </w:t>
      </w:r>
      <w:r>
        <w:rPr>
          <w:rFonts w:ascii="Times New Roman" w:hAnsi="Times New Roman"/>
          <w:b/>
          <w:i w:val="false"/>
          <w:color w:val="000000"/>
          <w:sz w:val="22"/>
        </w:rPr>
        <w:t xml:space="preserve">Coaching authorization. </w:t>
      </w:r>
      <w:r>
        <w:rPr>
          <w:rFonts w:ascii="Times New Roman" w:hAnsi="Times New Roman"/>
          <w:b w:val="false"/>
          <w:i w:val="false"/>
          <w:color w:val="000000"/>
          <w:sz w:val="22"/>
        </w:rPr>
        <w:t>A coaching authorization allows an individual to coach any sport in a middle school, junior high school, or high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coaching authorization shall submit records of credit to the board of educational examiners for an evaluation in terms of the required courses or contact hours. Application materials are available from the office of the board of educational examiners, online at </w:t>
      </w:r>
      <w:hyperlink r:id="rId4">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 or from institutions or agencies offering approved courses or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Applicants for the coaching authorization shall have completed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requirements. </w:t>
      </w:r>
      <w:r>
        <w:rPr>
          <w:rFonts w:ascii="Times New Roman" w:hAnsi="Times New Roman"/>
          <w:b w:val="false"/>
          <w:i w:val="false"/>
          <w:color w:val="000000"/>
          <w:sz w:val="22"/>
        </w:rPr>
        <w:t>Requirements completed for semester hour credit must be through a college or university accredited by an institutional accrediting agency as recognized by the U.S. Department of Education. Applicants must complete the following content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1 semester credit hour or 10 contact hours in a course relating to knowledge and understanding of the structure and function of the human body in relation to physical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1 semester credit hour or 10 contact hours in a course relating to knowledge and understanding of human growth and development of children and youth in relation to physical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2 semester credit hours or 20 contact hours in a course relating to knowledge and understanding of the prevention and care of athletic injuries and medical and safety problems relating to physical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1 semester credit hour or 10 contact hours relating to knowledge and understanding of the techniques and theory of coaching interscholastic athletics.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Beginning on or after July 1, 2000, each applicant for an initial coaching authorization shall have successfully completed 1 semester credit hour or 15 contact hours in a course relating to the theory of coaching which must include at least 5 contact hours relating to the knowledge and understanding of professional ethics and legal responsibilities of coaches.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the concussion training approved by the Iowa High School Athletic Association or Iowa Girls High School Athletic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CPR training as verified by a current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age or diploma. </w:t>
      </w:r>
      <w:r>
        <w:rPr>
          <w:rFonts w:ascii="Times New Roman" w:hAnsi="Times New Roman"/>
          <w:b w:val="false"/>
          <w:i w:val="false"/>
          <w:color w:val="000000"/>
          <w:sz w:val="22"/>
        </w:rPr>
        <w:t>Applicants must have attained a minimum of 18 years. Applicants must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minimum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high school diploma,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graduate equivalent diploma,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Home school completion verified by the executive director;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20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 xml:space="preserve">Applicants must complete the background check requirements set forth in rule </w:t>
      </w:r>
      <w:hyperlink r:id="rId5">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coaching authorization shall be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authorization may be renewed upon application and verification of successful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 activities. Applicants for renewal of a coaching authorization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five planned renewal activities/courses related to athletic coaching approved in accordance with guidelines approved by the board of educational examiners. Additionally, each applicant for the renewal of a coaching authorization shall have completed one renewal activity/course relating to the knowledge and understanding of professional ethics and legal responsibilities of coaches.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complete the concussion training approved by the Iowa High School Athletic Association or the Iowa Girls High School Athletic Union. Completion of the concussion training may be waived if the applicant is not serving as a coach. Attendance at the annual concussion training may be used for a maximum of one planned activity/course required in </w:t>
      </w:r>
      <w:hyperlink r:id="rId6">
        <w:r>
          <w:rPr>
            <w:rStyle w:val="Hyperlink"/>
            <w:rFonts w:ascii="Times New Roman" w:hAnsi="Times New Roman"/>
            <w:b w:val="false"/>
            <w:i w:val="false"/>
            <w:color w:val="000000"/>
            <w:sz w:val="22"/>
          </w:rPr>
          <w:t>22.1(4)</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child and dependent adult abuse trainings. Every renewal applicant must submit documentation of completion of the child and dependent adult abuse trainings pursuant to 282—subrule 20.3(4). These trainings combined may be used for a total of one planned activity/course required in </w:t>
      </w:r>
      <w:hyperlink r:id="rId7">
        <w:r>
          <w:rPr>
            <w:rStyle w:val="Hyperlink"/>
            <w:rFonts w:ascii="Times New Roman" w:hAnsi="Times New Roman"/>
            <w:b w:val="false"/>
            <w:i w:val="false"/>
            <w:color w:val="000000"/>
            <w:sz w:val="22"/>
          </w:rPr>
          <w:t>22.1(4)</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current certificate of CPR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one-year extension of the applicant’s coaching authorization may be issued if all requirements for the renewal of the coaching authorization have not been met. The applicant must complete the concussion training approved by the Iowa High School Athletic Association or the Iowa Girls High School Athletic Union before serving as a coach. The one-year extension is not renewable. The fee for this extension is found in </w:t>
      </w:r>
      <w:hyperlink r:id="rId8">
        <w:r>
          <w:rPr>
            <w:rStyle w:val="Hyperlink"/>
            <w:rFonts w:ascii="Times New Roman" w:hAnsi="Times New Roman"/>
            <w:b w:val="false"/>
            <w:i w:val="false"/>
            <w:color w:val="000000"/>
            <w:sz w:val="22"/>
          </w:rPr>
          <w:t>282—Chapter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holders of the coaching authorization. An ethics complaint may be filed if a practitioner begins coaching a sport without current concussion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w:t>
      </w:r>
      <w:r>
        <w:rPr>
          <w:rFonts w:ascii="Times New Roman" w:hAnsi="Times New Roman"/>
          <w:b w:val="false"/>
          <w:i w:val="false"/>
          <w:color w:val="000000"/>
          <w:sz w:val="22"/>
        </w:rPr>
        <w:t> </w:t>
      </w:r>
      <w:r>
        <w:rPr>
          <w:rFonts w:ascii="Times New Roman" w:hAnsi="Times New Roman"/>
          <w:b w:val="false"/>
          <w:i/>
          <w:color w:val="000000"/>
          <w:sz w:val="22"/>
        </w:rPr>
        <w:t xml:space="preserve">Approval of courses. </w:t>
      </w:r>
      <w:r>
        <w:rPr>
          <w:rFonts w:ascii="Times New Roman" w:hAnsi="Times New Roman"/>
          <w:b w:val="false"/>
          <w:i w:val="false"/>
          <w:color w:val="000000"/>
          <w:sz w:val="22"/>
        </w:rPr>
        <w:t>Each institution of higher education, private college or university, merged area school or area education agency wishing to offer the semester credit or contact hours for the coaching authorization must submit course descriptions for each offering to the board of educational examiners for approval. After initial approval, any changes by agencies or institutions in course offerings shall be filed with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w:t>
      </w:r>
      <w:r>
        <w:rPr>
          <w:rFonts w:ascii="Times New Roman" w:hAnsi="Times New Roman"/>
          <w:b w:val="false"/>
          <w:i w:val="false"/>
          <w:color w:val="000000"/>
          <w:sz w:val="22"/>
        </w:rPr>
        <w:t> </w:t>
      </w:r>
      <w:r>
        <w:rPr>
          <w:rFonts w:ascii="Times New Roman" w:hAnsi="Times New Roman"/>
          <w:b w:val="false"/>
          <w:i/>
          <w:color w:val="000000"/>
          <w:sz w:val="22"/>
        </w:rPr>
        <w:t xml:space="preserve">Transitional coaching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transitional coaching authorization shall submit a complete application verifying the requirements listed below. Application materials are available from the board of educational examiners online at </w:t>
      </w:r>
      <w:hyperlink r:id="rId9">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Applicants for the transitional coaching authorization shall have completed each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that the applicant has not completed the coursework required for a coaching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an offer of a coaching position by a school or a consortium of schools that will additionally verify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 fully authorized coaching candidates were found after a diligent search,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transitional coach will be supervised by a licensed athletic director, administrator, or other practitioner serving in a supervisory role during the first two weeks of employment,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supervisor will evaluate the performance of the transitional coach using an evaluation form available on the school’s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an approved shortened course of training related to the code of professional rights and responsibilities, practices, and ethics specifically developed for transitional coaches.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the child and dependent adult abuse trainings pursuant to 282—subrule 20.3(4).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nationally recognized concussion in youth sports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Verification that the applicant has attained a minimum age of 21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the background check requirements set forth in rule 282—13.1(272).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 xml:space="preserve">The transitional coaching authorization shall be valid for no more than one year and shall be valid only in the school or consortium of schools making the offer of the coaching 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transitional coaching authorization is nonrenewable.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apply to holders of a transitional coaching authorization. An ethics complaint may be filed if a practitioner begins coaching a sport without current concussion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0865C</w:t>
      </w:r>
      <w:r>
        <w:rPr>
          <w:rFonts w:ascii="Times New Roman" w:hAnsi="Times New Roman"/>
          <w:b w:val="false"/>
          <w:i w:val="false"/>
          <w:color w:val="000000"/>
          <w:sz w:val="16"/>
        </w:rPr>
        <w:t>, IAB 7/24/13, effective 8/28/13</w:t>
      </w:r>
      <w:r>
        <w:rPr>
          <w:rFonts w:ascii="Times New Roman" w:hAnsi="Times New Roman"/>
          <w:b w:val="false"/>
          <w:i w:val="false"/>
          <w:color w:val="000000"/>
          <w:sz w:val="16"/>
        </w:rPr>
        <w:t xml:space="preserve">; </w:t>
      </w:r>
      <w:r>
        <w:rPr>
          <w:rFonts w:ascii="Times New Roman" w:hAnsi="Times New Roman"/>
          <w:b/>
          <w:i w:val="false"/>
          <w:color w:val="000000"/>
          <w:sz w:val="16"/>
        </w:rPr>
        <w:t>ARC 0866C</w:t>
      </w:r>
      <w:r>
        <w:rPr>
          <w:rFonts w:ascii="Times New Roman" w:hAnsi="Times New Roman"/>
          <w:b w:val="false"/>
          <w:i w:val="false"/>
          <w:color w:val="000000"/>
          <w:sz w:val="16"/>
        </w:rPr>
        <w:t>, IAB 7/24/13, effective 8/28/13</w:t>
      </w:r>
      <w:r>
        <w:rPr>
          <w:rFonts w:ascii="Times New Roman" w:hAnsi="Times New Roman"/>
          <w:b w:val="false"/>
          <w:i w:val="false"/>
          <w:color w:val="000000"/>
          <w:sz w:val="16"/>
        </w:rPr>
        <w:t xml:space="preserve">; </w:t>
      </w:r>
      <w:r>
        <w:rPr>
          <w:rFonts w:ascii="Times New Roman" w:hAnsi="Times New Roman"/>
          <w:b/>
          <w:i w:val="false"/>
          <w:color w:val="000000"/>
          <w:sz w:val="16"/>
        </w:rPr>
        <w:t>ARC 2230C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2588C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2793C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4634C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5321C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 xml:space="preserve">; </w:t>
      </w:r>
      <w:r>
        <w:rPr>
          <w:rFonts w:ascii="Times New Roman" w:hAnsi="Times New Roman"/>
          <w:b/>
          <w:i w:val="false"/>
          <w:color w:val="000000"/>
          <w:sz w:val="16"/>
        </w:rPr>
        <w:t>ARC 5803C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6870C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282—22.2</w:t>
      </w:r>
      <w:r>
        <w:rPr>
          <w:rFonts w:ascii="Times New Roman" w:hAnsi="Times New Roman"/>
          <w:b/>
          <w:i w:val="false"/>
          <w:color w:val="000000"/>
          <w:sz w:val="22"/>
        </w:rPr>
        <w:t xml:space="preserve">(272) </w:t>
      </w:r>
      <w:r>
        <w:rPr>
          <w:rFonts w:ascii="Times New Roman" w:hAnsi="Times New Roman"/>
          <w:b/>
          <w:i w:val="false"/>
          <w:color w:val="000000"/>
          <w:sz w:val="22"/>
        </w:rPr>
        <w:t xml:space="preserve">Substitute authorization. </w:t>
      </w:r>
      <w:r>
        <w:rPr>
          <w:rFonts w:ascii="Times New Roman" w:hAnsi="Times New Roman"/>
          <w:b w:val="false"/>
          <w:i w:val="false"/>
          <w:color w:val="000000"/>
          <w:sz w:val="22"/>
        </w:rPr>
        <w:t xml:space="preserve">A substitute authorization allows an individual to substitute in grades PK-12 for no more than 10 consecutive days in a 30-day period in one job assignment for a regularly assigned teacher who is absent, except in the driver’s education classroom. A school district administrator may file a written request with the board for an extension of the 10-day limit in one job assignment in a 30-day period on the basis of documented need and benefit to the instructional program. The executive director or appointee will review the request and provide a written decision either approving or denying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substitute authorization shall submit records of credit to the board of educational examiners for an evaluation in terms of the required courses or contact hours. Application materials are available from the office of the board of educational examiners, online at </w:t>
      </w:r>
      <w:hyperlink r:id="rId10">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 xml:space="preserve"> or from institutions or agencies offering approved courses or contact hours. Degrees and semester hour credits shall be completed through a college or university accredited by an institutional accrediting agency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Applicants for the substitute authorization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Authorization program. Applicants must complete a board of educational examiners-approved substitute authorization program consisting of the following components and totaling a minimum of 15 clock hours: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Classroom management. This component includes an understanding of individual and group motivation and behavior to create a learning environment that encourages positive social interaction, active engagement in learning, and self-motivation.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Strategies for learning. This component includes understanding and using a variety of learning strategies to encourage students’ development of critical thinking, problem solving, and performance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Diversity. This component includes understanding how students differ in their approaches to learning and creating learning opportunities that are equitable and are adaptable to diverse learners.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Ethics. This component includes fostering relationships with parents, school colleagues, and organizations in the larger community to support students’ learning and development and to be aware of the board’s rules of professional practice and competent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Degree or certificate. Applicants must have achieved a minimum of an associate’s degree or 60 semester hours of college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Minimum age. Applicants must have attained a minimum age of 21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Background check. Applicants must complete the background check requirements set forth in rule </w:t>
      </w:r>
      <w:hyperlink r:id="rId11">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substitute authorization shall be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authorization may be renewed upon application and verification of successful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Renewal units. Applicants for renewal of the substitute authorization must provide verification of a minimum of two licensure renewal units or semester hours of renewal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and dependent adult abuse trainings. Every renewal applicant must submit documentation of completion of the child and dependent adult abuse trainings pursuant to </w:t>
      </w:r>
      <w:hyperlink r:id="rId12">
        <w:r>
          <w:rPr>
            <w:rStyle w:val="Hyperlink"/>
            <w:rFonts w:ascii="Times New Roman" w:hAnsi="Times New Roman"/>
            <w:b w:val="false"/>
            <w:i w:val="false"/>
            <w:color w:val="000000"/>
            <w:sz w:val="22"/>
          </w:rPr>
          <w:t>282—subrule 20.3(4)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holders of the substitute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color w:val="000000"/>
          <w:sz w:val="22"/>
        </w:rPr>
        <w:t xml:space="preserve">Approval of courses. </w:t>
      </w:r>
      <w:r>
        <w:rPr>
          <w:rFonts w:ascii="Times New Roman" w:hAnsi="Times New Roman"/>
          <w:b w:val="false"/>
          <w:i w:val="false"/>
          <w:color w:val="000000"/>
          <w:sz w:val="22"/>
        </w:rPr>
        <w:t>Each institution of higher education, private college or university, merged area school or area education agency wishing to offer the semester credit or contact hours for the substitute authorization must submit course descriptions for each offering to the board of educational examiners for approval. After initial approval, any changes by agencies or institutions in course offerings shall be filed with the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7745B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0865C</w:t>
      </w:r>
      <w:r>
        <w:rPr>
          <w:rFonts w:ascii="Times New Roman" w:hAnsi="Times New Roman"/>
          <w:b w:val="false"/>
          <w:i w:val="false"/>
          <w:color w:val="000000"/>
          <w:sz w:val="16"/>
        </w:rPr>
        <w:t>, IAB 7/24/13, effective 8/28/13</w:t>
      </w:r>
      <w:r>
        <w:rPr>
          <w:rFonts w:ascii="Times New Roman" w:hAnsi="Times New Roman"/>
          <w:b w:val="false"/>
          <w:i w:val="false"/>
          <w:color w:val="000000"/>
          <w:sz w:val="16"/>
        </w:rPr>
        <w:t xml:space="preserve">; </w:t>
      </w:r>
      <w:r>
        <w:rPr>
          <w:rFonts w:ascii="Times New Roman" w:hAnsi="Times New Roman"/>
          <w:b/>
          <w:i w:val="false"/>
          <w:color w:val="000000"/>
          <w:sz w:val="16"/>
        </w:rPr>
        <w:t>ARC 1087C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1720C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2230C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2528C</w:t>
      </w:r>
      <w:r>
        <w:rPr>
          <w:rFonts w:ascii="Times New Roman" w:hAnsi="Times New Roman"/>
          <w:b w:val="false"/>
          <w:i w:val="false"/>
          <w:color w:val="000000"/>
          <w:sz w:val="16"/>
        </w:rPr>
        <w:t>, IAB 5/11/16,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3633C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4634C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4635C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5303C</w:t>
      </w:r>
      <w:r>
        <w:rPr>
          <w:rFonts w:ascii="Times New Roman" w:hAnsi="Times New Roman"/>
          <w:b w:val="false"/>
          <w:i w:val="false"/>
          <w:color w:val="000000"/>
          <w:sz w:val="16"/>
        </w:rPr>
        <w:t>, IAB 12/2/20, effective 1/6/21</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5803C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6126C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6870C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282—22.3</w:t>
      </w:r>
      <w:r>
        <w:rPr>
          <w:rFonts w:ascii="Times New Roman" w:hAnsi="Times New Roman"/>
          <w:b/>
          <w:i w:val="false"/>
          <w:color w:val="000000"/>
          <w:sz w:val="22"/>
        </w:rPr>
        <w:t xml:space="preserve">(272) </w:t>
      </w:r>
      <w:r>
        <w:rPr>
          <w:rFonts w:ascii="Times New Roman" w:hAnsi="Times New Roman"/>
          <w:b/>
          <w:i w:val="false"/>
          <w:color w:val="000000"/>
          <w:sz w:val="22"/>
        </w:rPr>
        <w:t xml:space="preserve">School business official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authorization. </w:t>
      </w:r>
      <w:r>
        <w:rPr>
          <w:rFonts w:ascii="Times New Roman" w:hAnsi="Times New Roman"/>
          <w:b w:val="false"/>
          <w:i w:val="false"/>
          <w:color w:val="000000"/>
          <w:sz w:val="22"/>
        </w:rPr>
        <w:t>Effective July 1, 2012, a person who is interested in a school business official authorization will be required to apply for an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 xml:space="preserve">A school business official authorization allows an individual to perform, supervise, and be responsible for the overall financial operation of a local school district.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school business official authorization shall submit records of credit to the board of educational examiners for an evaluation in terms of the required courses or contact hours. Application materials are available from the office of the board of educational examiners, online at </w:t>
      </w:r>
      <w:hyperlink r:id="rId13">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 or from institutions or agencies offering approved courses or contact hours. Degrees and semester hour credits shall be completed through a college or university accredited by an institutional accrediting agency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an initial school business official authorization. </w:t>
      </w:r>
      <w:r>
        <w:rPr>
          <w:rFonts w:ascii="Times New Roman" w:hAnsi="Times New Roman"/>
          <w:b w:val="false"/>
          <w:i w:val="false"/>
          <w:color w:val="000000"/>
          <w:sz w:val="22"/>
        </w:rPr>
        <w:t>Applicants for an initial school business official authorization shall have completed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Applicants must have a minimum of an associate’s degree in business or accounting or 60 semester hours of coursework in business or accounting of which 9 semester hours must be in accounting.</w:t>
      </w:r>
    </w:p>
    <w:p>
      <w:pPr>
        <w:spacing w:before="0" w:after="0"/>
        <w:ind w:left="120"/>
        <w:jc w:val="both"/>
      </w:pPr>
      <w:r>
        <w:rPr>
          <w:rFonts w:ascii="Times New Roman" w:hAnsi="Times New Roman"/>
          <w:b w:val="false"/>
          <w:i w:val="false"/>
          <w:color w:val="000000"/>
          <w:sz w:val="22"/>
        </w:rPr>
        <w:t>If the applicant has not completed 9 semester hours in accounting but has 6 or more semester hours in accounting, the applicant may be issued a temporary school business official authorization valid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temporary initial school business official authorization may be issued if requested by the district. A district administrator may file a written request with the executive director for an exception to the minimum content requirements on the basis of documented need and benefit to the district. The executive director will review the request and provide a written decision either approving or denying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9 semester hours of accounting are not completed within the time allowed, the applicant will not be eligible for the initial school business official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received a temporary school business official authorization, then the initial school business official authorization shall not exceed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age. </w:t>
      </w:r>
      <w:r>
        <w:rPr>
          <w:rFonts w:ascii="Times New Roman" w:hAnsi="Times New Roman"/>
          <w:b w:val="false"/>
          <w:i w:val="false"/>
          <w:color w:val="000000"/>
          <w:sz w:val="22"/>
        </w:rPr>
        <w:t>Applicants must have attained a minimum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 xml:space="preserve">Applicants must complete the background check requirements set forth in rule </w:t>
      </w:r>
      <w:hyperlink r:id="rId14">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22.3(5)</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a standard school business official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standard school business official authorization will be valid for three years and may be issued to an applicant who meets the requirements set forth in subrules </w:t>
      </w:r>
      <w:hyperlink r:id="rId15">
        <w:r>
          <w:rPr>
            <w:rStyle w:val="Hyperlink"/>
            <w:rFonts w:ascii="Times New Roman" w:hAnsi="Times New Roman"/>
            <w:b w:val="false"/>
            <w:i w:val="false"/>
            <w:color w:val="000000"/>
            <w:sz w:val="22"/>
          </w:rPr>
          <w:t>22.3(3)</w:t>
        </w:r>
      </w:hyperlink>
      <w:r>
        <w:rPr>
          <w:rFonts w:ascii="Times New Roman" w:hAnsi="Times New Roman"/>
          <w:b w:val="false"/>
          <w:i w:val="false"/>
          <w:color w:val="000000"/>
          <w:sz w:val="22"/>
        </w:rPr>
        <w:t xml:space="preserve"> to </w:t>
      </w:r>
      <w:hyperlink r:id="rId16">
        <w:r>
          <w:rPr>
            <w:rStyle w:val="Hyperlink"/>
            <w:rFonts w:ascii="Times New Roman" w:hAnsi="Times New Roman"/>
            <w:b w:val="false"/>
            <w:i w:val="false"/>
            <w:color w:val="000000"/>
            <w:sz w:val="22"/>
          </w:rPr>
          <w:t>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must complete 9 semester hours or the equivalent (1 semester hour is equivalent to 15 contact hours) in an approved program in the following areas/competencies: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Accounting (GAAP) concepts: fund accounting, account codes, Uniform Financial Accounting.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Accounting cycles: budgets, payroll/benefits, purchasing/inventory, cash, receipts, disbursements, financial reporting, investments.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Technology: management of accounting systems, proficiency in understanding and use of systems technology and related programs.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Regulatory: Uniform Administrative Procedures Manual, school policies and procedures, administrative procedures, public records law, records management, school law, employment law, construction and bidding law.</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Personal skills: effective communication and interpersonal skills, ethical conduct, information management, ability to analyze and evaluate, ability to recognize and safeguard confidential information, and accurate and timely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shall demonstrate completion of or competency 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board of educational examiners ethics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mentoring program as described in </w:t>
      </w:r>
      <w:hyperlink r:id="rId17">
        <w:r>
          <w:rPr>
            <w:rStyle w:val="Hyperlink"/>
            <w:rFonts w:ascii="Times New Roman" w:hAnsi="Times New Roman"/>
            <w:b w:val="false"/>
            <w:i w:val="false"/>
            <w:color w:val="000000"/>
            <w:sz w:val="22"/>
          </w:rPr>
          <w:t>281—Chapter 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promotion of the value of the school business official’s fiduciary responsibility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22.3(6)</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school business official authorization shall be valid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standard school business official authorization shall be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22.3(7)</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authorization may be renewed upon application and verification of successful completion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addition to the child and dependent adult abuse mandatory reporter training listed below, the applicant for renewal must complete 4 semester hours of credit or the equivalent contact hours (1 semester hour is equivalent to 15 contact hours) within the three-year licensure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complete requirements for renewal will require a petition for waiver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and dependent adult abuse mandatory reporter trainings. Every renewal applicant must submit documentation of completion of the child and dependent adult abuse mandatory reporter trainings pursuant to 282—subrule 20.3(4).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22.3(8)</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holders of the school business official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22.3(9)</w:t>
      </w:r>
      <w:r>
        <w:rPr>
          <w:rFonts w:ascii="Times New Roman" w:hAnsi="Times New Roman"/>
          <w:b w:val="false"/>
          <w:i w:val="false"/>
          <w:color w:val="000000"/>
          <w:sz w:val="22"/>
        </w:rPr>
        <w:t> </w:t>
      </w:r>
      <w:r>
        <w:rPr>
          <w:rFonts w:ascii="Times New Roman" w:hAnsi="Times New Roman"/>
          <w:b w:val="false"/>
          <w:i/>
          <w:color w:val="000000"/>
          <w:sz w:val="22"/>
        </w:rPr>
        <w:t xml:space="preserve">Approval of courses. </w:t>
      </w:r>
      <w:r>
        <w:rPr>
          <w:rFonts w:ascii="Times New Roman" w:hAnsi="Times New Roman"/>
          <w:b w:val="false"/>
          <w:i w:val="false"/>
          <w:color w:val="000000"/>
          <w:sz w:val="22"/>
        </w:rPr>
        <w:t>Each institution of higher education, private college or university, merged area school or area education agency and professional organization that wishes to offer the semester credit hours or contact hours for the school business official authorization must submit course descriptions for each offering to the board of educational examiners for approval. After initial approval, any changes by agencies or institutions in course offerings shall be filed with the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9572B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0869C</w:t>
      </w:r>
      <w:r>
        <w:rPr>
          <w:rFonts w:ascii="Times New Roman" w:hAnsi="Times New Roman"/>
          <w:b w:val="false"/>
          <w:i w:val="false"/>
          <w:color w:val="000000"/>
          <w:sz w:val="16"/>
        </w:rPr>
        <w:t>, IAB 7/24/13, effective 8/28/13</w:t>
      </w:r>
      <w:r>
        <w:rPr>
          <w:rFonts w:ascii="Times New Roman" w:hAnsi="Times New Roman"/>
          <w:b w:val="false"/>
          <w:i w:val="false"/>
          <w:color w:val="000000"/>
          <w:sz w:val="16"/>
        </w:rPr>
        <w:t xml:space="preserve">; </w:t>
      </w:r>
      <w:r>
        <w:rPr>
          <w:rFonts w:ascii="Times New Roman" w:hAnsi="Times New Roman"/>
          <w:b/>
          <w:i w:val="false"/>
          <w:color w:val="000000"/>
          <w:sz w:val="16"/>
        </w:rPr>
        <w:t>ARC 1719C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2230C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3196C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4634C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5803C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282—22.4</w:t>
      </w:r>
      <w:r>
        <w:rPr>
          <w:rFonts w:ascii="Times New Roman" w:hAnsi="Times New Roman"/>
          <w:b/>
          <w:i w:val="false"/>
          <w:color w:val="000000"/>
          <w:sz w:val="22"/>
        </w:rPr>
        <w:t xml:space="preserve">(272) </w:t>
      </w:r>
      <w:r>
        <w:rPr>
          <w:rFonts w:ascii="Times New Roman" w:hAnsi="Times New Roman"/>
          <w:b/>
          <w:i w:val="false"/>
          <w:color w:val="000000"/>
          <w:sz w:val="22"/>
        </w:rPr>
        <w:t xml:space="preserve">Licenses—issue dates, corrections, duplicates, fraud, and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Issue date on original authorization. </w:t>
      </w:r>
      <w:r>
        <w:rPr>
          <w:rFonts w:ascii="Times New Roman" w:hAnsi="Times New Roman"/>
          <w:b w:val="false"/>
          <w:i w:val="false"/>
          <w:color w:val="000000"/>
          <w:sz w:val="22"/>
        </w:rPr>
        <w:t>An authorization is valid only from and after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Correcting authorization. </w:t>
      </w:r>
      <w:r>
        <w:rPr>
          <w:rFonts w:ascii="Times New Roman" w:hAnsi="Times New Roman"/>
          <w:b w:val="false"/>
          <w:i w:val="false"/>
          <w:color w:val="000000"/>
          <w:sz w:val="22"/>
        </w:rPr>
        <w:t>If an applicant notifies board staff of a typographical or clerical error on the authorization within 30 days of the date of the board’s mailing of an authorization, a corrected authorization shall be issued without charge to the applicant. If notification of a typographical or clerical error is made more than 30 days after the date of the board’s mailing of an authorization, a corrected authorization shall be issued upon receipt of the fee for issuance of a duplicate authorization. For purposes of this rule, typographical or clerical errors include misspellings, errors in the expiration date of an authorization, or errors in the type of authorization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Duplicate authorization. </w:t>
      </w:r>
      <w:r>
        <w:rPr>
          <w:rFonts w:ascii="Times New Roman" w:hAnsi="Times New Roman"/>
          <w:b w:val="false"/>
          <w:i w:val="false"/>
          <w:color w:val="000000"/>
          <w:sz w:val="22"/>
        </w:rPr>
        <w:t xml:space="preserve">Upon application and payment of the fee set out in </w:t>
      </w:r>
      <w:hyperlink r:id="rId18">
        <w:r>
          <w:rPr>
            <w:rStyle w:val="Hyperlink"/>
            <w:rFonts w:ascii="Times New Roman" w:hAnsi="Times New Roman"/>
            <w:b w:val="false"/>
            <w:i w:val="false"/>
            <w:color w:val="000000"/>
            <w:sz w:val="22"/>
          </w:rPr>
          <w:t>282—Chapter 12</w:t>
        </w:r>
      </w:hyperlink>
      <w:r>
        <w:rPr>
          <w:rFonts w:ascii="Times New Roman" w:hAnsi="Times New Roman"/>
          <w:b w:val="false"/>
          <w:i w:val="false"/>
          <w:color w:val="000000"/>
          <w:sz w:val="22"/>
        </w:rPr>
        <w:t>, a duplicate authorization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color w:val="000000"/>
          <w:sz w:val="22"/>
        </w:rPr>
        <w:t xml:space="preserve">Fraud in procurement or renewal of authorization. </w:t>
      </w:r>
      <w:r>
        <w:rPr>
          <w:rFonts w:ascii="Times New Roman" w:hAnsi="Times New Roman"/>
          <w:b w:val="false"/>
          <w:i w:val="false"/>
          <w:color w:val="000000"/>
          <w:sz w:val="22"/>
        </w:rPr>
        <w:t>Fraud in procurement or renewal of an authorization or falsifying records for authorization purposes will constitute grounds for filing a complaint with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Applicants who hold a license, certificate, or authorization under this chapter from at least one other issuing jurisdiction in another state will not be subject to additional coursework if the following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holds a valid or expired equivalent license in good standing from another state without pending disciplinary action, exclusive of a temporary or emergency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verification of passing the mandated assessment(s) in the state in which the applicant is currently licensed,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9572B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6870C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282—22.5</w:t>
      </w:r>
      <w:r>
        <w:rPr>
          <w:rFonts w:ascii="Times New Roman" w:hAnsi="Times New Roman"/>
          <w:b/>
          <w:i w:val="false"/>
          <w:color w:val="000000"/>
          <w:sz w:val="22"/>
        </w:rPr>
        <w:t xml:space="preserve">(272) </w:t>
      </w:r>
      <w:r>
        <w:rPr>
          <w:rFonts w:ascii="Times New Roman" w:hAnsi="Times New Roman"/>
          <w:b/>
          <w:i w:val="false"/>
          <w:color w:val="000000"/>
          <w:sz w:val="22"/>
        </w:rPr>
        <w:t xml:space="preserve">Preliminary native language teaching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preliminary native language teaching authorization is provided to noneducators entering the education profession to teach their native language as a foreign language in grades K-6 or grades 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preliminary native language teaching authorization shall submit the application to the board of educational examiners for an evaluation. Application materials are available from the office of the board of educational examiners online at </w:t>
      </w:r>
      <w:hyperlink r:id="rId19">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completed a baccalaureate degree through a college or university accredited by an institutional accrediting agency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Background check. The applicant must complete the background check requirements set forth in rule </w:t>
      </w:r>
      <w:hyperlink r:id="rId20">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obtain a recommendation from a school district administrator verifying that the school district wishes to hire the applicant. Before the applicant is hired, the school district administrator must verify that a diligent search was completed to hire a fully licensed teacher for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the term of the authorization, the applicant must complete board-approved training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Methods and techniques of teaching. Develop skills to use a variety of learning strategies that encourage students’ development of critical thinking, problem solving, and performance skills. The methods course must include specific methods and techniques of teaching a foreign language and must be appropriate for the level of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Curriculum development. Develop an understanding of how students differ in their approaches to learning and create learning opportunities that are equitable and adaptable to diverse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Measurement and evaluation of programs and students. Develop skills to use a variety of authentic assessments to measure student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Classroom management. Develop an understanding of individual and group motivation and behavior which creates a learning environment that encourages positive social interactions, active engagement in learning, and self-motivation.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Code of ethics. Develop an understanding of how to foster relationships with parents, school colleagues, and organizations in the larger community to support students’ learning and development and become aware of the board’s rules of professional practice and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Diversity training for educators. Develop an understanding of and sensitivity to the values, beliefs, lifestyles and attitudes of individuals and the diverse groups found in a pluralistic society, including preparation that contributes to the education of individuals with disabilities and the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assigned a mentor by the hiring school district. The mentor must have four years of teaching experience in a related subject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Assessment of native language. The applicant must provide verification of successfully passing the Iowa-mandated assessment(s) by meeting the minimum score set by the Iowa department of education. The cut score may not be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This authorization is valid for three years. No conditional licenses may be issued to applicants holding the preliminary native language teaching authorization. No additional endorsement areas may be added.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authorization is nonrenewable.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w:t>
      </w:r>
      <w:r>
        <w:rPr>
          <w:rFonts w:ascii="Times New Roman" w:hAnsi="Times New Roman"/>
          <w:b w:val="false"/>
          <w:i w:val="false"/>
          <w:color w:val="000000"/>
          <w:sz w:val="22"/>
        </w:rPr>
        <w:t> </w:t>
      </w:r>
      <w:r>
        <w:rPr>
          <w:rFonts w:ascii="Times New Roman" w:hAnsi="Times New Roman"/>
          <w:b w:val="false"/>
          <w:i/>
          <w:color w:val="000000"/>
          <w:sz w:val="22"/>
        </w:rPr>
        <w:t xml:space="preserve">Conversion. </w:t>
      </w:r>
      <w:r>
        <w:rPr>
          <w:rFonts w:ascii="Times New Roman" w:hAnsi="Times New Roman"/>
          <w:b w:val="false"/>
          <w:i w:val="false"/>
          <w:color w:val="000000"/>
          <w:sz w:val="22"/>
        </w:rPr>
        <w:t xml:space="preserve">The preliminary native language teaching authorization may be converted to a native language teaching authorization. The applicant must provide official transcripts verifying the completion of the coursework required in </w:t>
      </w:r>
      <w:hyperlink r:id="rId21">
        <w:r>
          <w:rPr>
            <w:rStyle w:val="Hyperlink"/>
            <w:rFonts w:ascii="Times New Roman" w:hAnsi="Times New Roman"/>
            <w:b w:val="false"/>
            <w:i w:val="false"/>
            <w:color w:val="000000"/>
            <w:sz w:val="22"/>
          </w:rPr>
          <w:t>22.5(3)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holders of the preliminary native language teaching authorization. If a school district hires an applicant without a valid preliminary native language teaching authorization, a complaint may be filed against the teacher and the superintendent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22.5(8)</w:t>
      </w:r>
      <w:r>
        <w:rPr>
          <w:rFonts w:ascii="Times New Roman" w:hAnsi="Times New Roman"/>
          <w:b w:val="false"/>
          <w:i w:val="false"/>
          <w:color w:val="000000"/>
          <w:sz w:val="22"/>
        </w:rPr>
        <w:t> </w:t>
      </w:r>
      <w:r>
        <w:rPr>
          <w:rFonts w:ascii="Times New Roman" w:hAnsi="Times New Roman"/>
          <w:b w:val="false"/>
          <w:i/>
          <w:color w:val="000000"/>
          <w:sz w:val="22"/>
        </w:rPr>
        <w:t xml:space="preserve">Approval of courses. </w:t>
      </w:r>
      <w:r>
        <w:rPr>
          <w:rFonts w:ascii="Times New Roman" w:hAnsi="Times New Roman"/>
          <w:b w:val="false"/>
          <w:i w:val="false"/>
          <w:color w:val="000000"/>
          <w:sz w:val="22"/>
        </w:rPr>
        <w:t>Each institution of higher education, private college or university, community college or area education agency wishing to offer the training for the preliminary native language teaching authorization must submit course descriptions for each offering to the board of educational examiners for approval. After initial approval, any changes by agencies or institutions in course offerings shall be filed with the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0562C</w:t>
      </w:r>
      <w:r>
        <w:rPr>
          <w:rFonts w:ascii="Times New Roman" w:hAnsi="Times New Roman"/>
          <w:b w:val="false"/>
          <w:i w:val="false"/>
          <w:color w:val="000000"/>
          <w:sz w:val="16"/>
        </w:rPr>
        <w:t>, IAB 1/23/13, effective 2/27/13</w:t>
      </w:r>
      <w:r>
        <w:rPr>
          <w:rFonts w:ascii="Times New Roman" w:hAnsi="Times New Roman"/>
          <w:b w:val="false"/>
          <w:i w:val="false"/>
          <w:color w:val="000000"/>
          <w:sz w:val="16"/>
        </w:rPr>
        <w:t xml:space="preserve">; </w:t>
      </w:r>
      <w:r>
        <w:rPr>
          <w:rFonts w:ascii="Times New Roman" w:hAnsi="Times New Roman"/>
          <w:b/>
          <w:i w:val="false"/>
          <w:color w:val="000000"/>
          <w:sz w:val="16"/>
        </w:rPr>
        <w:t>ARC 2230C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3196C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5803C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282—22.6</w:t>
      </w:r>
      <w:r>
        <w:rPr>
          <w:rFonts w:ascii="Times New Roman" w:hAnsi="Times New Roman"/>
          <w:b/>
          <w:i w:val="false"/>
          <w:color w:val="000000"/>
          <w:sz w:val="22"/>
        </w:rPr>
        <w:t xml:space="preserve">(272) </w:t>
      </w:r>
      <w:r>
        <w:rPr>
          <w:rFonts w:ascii="Times New Roman" w:hAnsi="Times New Roman"/>
          <w:b/>
          <w:i w:val="false"/>
          <w:color w:val="000000"/>
          <w:sz w:val="22"/>
        </w:rPr>
        <w:t xml:space="preserve">Native language teaching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native language teaching authorization allows an individual to teach the individual’s native language as a foreign language in grades K-8 or grades 5-12.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native language teaching authorization shall submit an application to the board of educational examiners for an evaluation. Application materials are available from the office of the board of educational examiners online at </w:t>
      </w:r>
      <w:hyperlink r:id="rId22">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Applicants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preliminary native language teaching authorization and meet the conversion requirements for the native language teaching authorization,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an Iowa teaching license and provide verification of successfully passing the Iowa-mandated assessment(s) by meeting the minimum score set by the Iowa department of education. The cut score may not be waived by the board. Applicants who hold an Iowa teaching license must also obtain a recommendation from a school district administrator verifying that the school district wishes to hire the applicant. Before the applicant is hired, the school district administrator must verify that a diligent search was completed to hire a fully licensed teacher with the proper endorsement for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This authorization is valid for five years. No Class B licenses may be issued to an applicant holding the native language teaching authorization unless a teaching license is additionally obtained. No additional endorsement areas may be added to the native language teaching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w:t>
      </w:r>
      <w:r>
        <w:rPr>
          <w:rFonts w:ascii="Times New Roman" w:hAnsi="Times New Roman"/>
          <w:b w:val="false"/>
          <w:i w:val="false"/>
          <w:color w:val="000000"/>
          <w:sz w:val="22"/>
        </w:rPr>
        <w:t> </w:t>
      </w:r>
      <w:r>
        <w:rPr>
          <w:rFonts w:ascii="Times New Roman" w:hAnsi="Times New Roman"/>
          <w:b w:val="false"/>
          <w:i/>
          <w:color w:val="000000"/>
          <w:sz w:val="22"/>
        </w:rPr>
        <w:t xml:space="preserve">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must meet the renewal requirements set forth in rule </w:t>
      </w:r>
      <w:hyperlink r:id="rId23">
        <w:r>
          <w:rPr>
            <w:rStyle w:val="Hyperlink"/>
            <w:rFonts w:ascii="Times New Roman" w:hAnsi="Times New Roman"/>
            <w:b w:val="false"/>
            <w:i w:val="false"/>
            <w:color w:val="000000"/>
            <w:sz w:val="22"/>
          </w:rPr>
          <w:t>282—20.3</w:t>
        </w:r>
      </w:hyperlink>
      <w:r>
        <w:rPr>
          <w:rFonts w:ascii="Times New Roman" w:hAnsi="Times New Roman"/>
          <w:b w:val="false"/>
          <w:i w:val="false"/>
          <w:color w:val="000000"/>
          <w:sz w:val="22"/>
        </w:rPr>
        <w:t xml:space="preserve">(272) and </w:t>
      </w:r>
      <w:hyperlink r:id="rId24">
        <w:r>
          <w:rPr>
            <w:rStyle w:val="Hyperlink"/>
            <w:rFonts w:ascii="Times New Roman" w:hAnsi="Times New Roman"/>
            <w:b w:val="false"/>
            <w:i w:val="false"/>
            <w:color w:val="000000"/>
            <w:sz w:val="22"/>
          </w:rPr>
          <w:t>282—subrule 20.5(2)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one-year extension may be issued if all requirements for the renewal of the native language teaching authorization have not been met. This one-year extension is not 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holders of the native language teaching authorization. If a school district hires an applicant without the proper licensure or endorsement, a complaint may be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1721C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282—22.7</w:t>
      </w:r>
      <w:r>
        <w:rPr>
          <w:rFonts w:ascii="Times New Roman" w:hAnsi="Times New Roman"/>
          <w:b/>
          <w:i w:val="false"/>
          <w:color w:val="000000"/>
          <w:sz w:val="22"/>
        </w:rPr>
        <w:t xml:space="preserve">(272) </w:t>
      </w:r>
      <w:r>
        <w:rPr>
          <w:rFonts w:ascii="Times New Roman" w:hAnsi="Times New Roman"/>
          <w:b/>
          <w:i w:val="false"/>
          <w:color w:val="000000"/>
          <w:sz w:val="22"/>
        </w:rPr>
        <w:t xml:space="preserve">School administration manager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authorization. </w:t>
      </w:r>
      <w:r>
        <w:rPr>
          <w:rFonts w:ascii="Times New Roman" w:hAnsi="Times New Roman"/>
          <w:b w:val="false"/>
          <w:i w:val="false"/>
          <w:color w:val="000000"/>
          <w:sz w:val="22"/>
        </w:rPr>
        <w:t>Effective July 1, 2014, a person who is interested in a school administration manager authorization will be required to apply for an authorization. The following persons must obtain an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Model 1 SAM, a person who is hired to be a full-time SAM and who is authorized to assume the responsibilities of a SAM;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Model 2 SAM, a person whose position in the school is reconfigured to include the responsibilities of being a SAM and is authorized as a SAM;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Model 3 SAM, a person who is a secretary/administrative assistant and is also authorized as a SAM.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A school administration manager authorization allows an individual to assist a school administrator in performing noninstructional, administrative-type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school administration manager authorization shall submit to the board of educational examiners an application which includes a written verification of employment from a school district administrator. Application materials are available from the office of the board of educational examiners online at </w:t>
      </w:r>
      <w:hyperlink r:id="rId25">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22.7(4)</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an initial school administration manager authorization. </w:t>
      </w:r>
      <w:r>
        <w:rPr>
          <w:rFonts w:ascii="Times New Roman" w:hAnsi="Times New Roman"/>
          <w:b w:val="false"/>
          <w:i w:val="false"/>
          <w:color w:val="000000"/>
          <w:sz w:val="22"/>
        </w:rPr>
        <w:t>Applicants for an initial school administration manager authorization shall have completed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Applicanats must hold a high school degree or general equivalency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age. </w:t>
      </w:r>
      <w:r>
        <w:rPr>
          <w:rFonts w:ascii="Times New Roman" w:hAnsi="Times New Roman"/>
          <w:b w:val="false"/>
          <w:i w:val="false"/>
          <w:color w:val="000000"/>
          <w:sz w:val="22"/>
        </w:rPr>
        <w:t>Applicants must have attained a minimum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 xml:space="preserve">Applicants must complete the background check requirements set forth in rule </w:t>
      </w:r>
      <w:hyperlink r:id="rId26">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a standard school administration manager authorization. </w:t>
      </w:r>
      <w:r>
        <w:rPr>
          <w:rFonts w:ascii="Times New Roman" w:hAnsi="Times New Roman"/>
          <w:b w:val="false"/>
          <w:i w:val="false"/>
          <w:color w:val="000000"/>
          <w:sz w:val="22"/>
        </w:rPr>
        <w:t>The initial school administration manager authorization shall be converted to the standard school administration manager authorization provided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 xml:space="preserve">A school administration manager shall attend an approved training program at the onset of the individual’s hire as a school administration manager. The training for school administration managers is set forth in </w:t>
      </w:r>
      <w:hyperlink r:id="rId27">
        <w:r>
          <w:rPr>
            <w:rStyle w:val="Hyperlink"/>
            <w:rFonts w:ascii="Times New Roman" w:hAnsi="Times New Roman"/>
            <w:b w:val="false"/>
            <w:i w:val="false"/>
            <w:color w:val="000000"/>
            <w:sz w:val="22"/>
          </w:rPr>
          <w:t>281—subrule 82.7(2)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An applicant shall complete one year of experience as a school administration manager in an Iowa school. The supervising administrator shall verify this experience and the applicant’s completion of the required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Competencies. </w:t>
      </w:r>
      <w:r>
        <w:rPr>
          <w:rFonts w:ascii="Times New Roman" w:hAnsi="Times New Roman"/>
          <w:b w:val="false"/>
          <w:i w:val="false"/>
          <w:color w:val="000000"/>
          <w:sz w:val="22"/>
        </w:rPr>
        <w:t>Applicants shall demonstrate completion of or competency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school administration manager shall demonstrate competence in technology appropriate to the school administration manager position. The school administration manager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Become proficient in the use of the approved time-tracking software tool;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Schedule the administrator’s time using the approved software, update and reconcile the calendar daily, and attempt to pre-calendar the administrator at or above the administrator’s goal;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Regularly schedule, review, and reflect with the administrator on the graphs and data provided through the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school administration manager shall demonstrate appropriate personal skills. The school administration manager: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an effective communicator with all stakeholders, including but not limited to colleagues, community members, parents, and students;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Works effectively with employees, students, and stakeholders.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Maintains confidentiality when dealing with student, parent, and staff issues;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Clearly understands the administrator’s philosophy of behavior expectations and consequences;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Maintains an environment of mutual respect, rapport, and fairness.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22.7(6)</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school administration manager authorization shall be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standard school administration manager authorization shall be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22.7(7)</w:t>
      </w:r>
      <w:r>
        <w:rPr>
          <w:rFonts w:ascii="Times New Roman" w:hAnsi="Times New Roman"/>
          <w:b w:val="false"/>
          <w:i w:val="false"/>
          <w:color w:val="000000"/>
          <w:sz w:val="22"/>
        </w:rPr>
        <w:t> </w:t>
      </w:r>
      <w:r>
        <w:rPr>
          <w:rFonts w:ascii="Times New Roman" w:hAnsi="Times New Roman"/>
          <w:b w:val="false"/>
          <w:i/>
          <w:color w:val="000000"/>
          <w:sz w:val="22"/>
        </w:rPr>
        <w:t xml:space="preserve">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school administration manager authorization may be renewed once if the applicant has not previously had employment as a school administration manager but can at the time of application provide evidence of employment as a school administration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standard school administration manager authorization may be renewed upon application and verification of successful completion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Renewal activities. The applicant for renewal must complete three semester hours of credit through authorized SAM training or online training courses approved by the board of educational examiners in collaboration with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and dependent adult abuse mandatory reporter trainings. Every renewal applicant must submit documentation of completion of the child and dependent adult abuse mandatory reporter trainings pursuant to 282—subrule 20.3(4).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22.7(8)</w:t>
      </w:r>
      <w:r>
        <w:rPr>
          <w:rFonts w:ascii="Times New Roman" w:hAnsi="Times New Roman"/>
          <w:b w:val="false"/>
          <w:i w:val="false"/>
          <w:color w:val="000000"/>
          <w:sz w:val="22"/>
        </w:rPr>
        <w:t> </w:t>
      </w:r>
      <w:r>
        <w:rPr>
          <w:rFonts w:ascii="Times New Roman" w:hAnsi="Times New Roman"/>
          <w:b w:val="false"/>
          <w:i/>
          <w:color w:val="000000"/>
          <w:sz w:val="22"/>
        </w:rPr>
        <w:t xml:space="preserve">Extension. </w:t>
      </w:r>
      <w:r>
        <w:rPr>
          <w:rFonts w:ascii="Times New Roman" w:hAnsi="Times New Roman"/>
          <w:b w:val="false"/>
          <w:i w:val="false"/>
          <w:color w:val="000000"/>
          <w:sz w:val="22"/>
        </w:rPr>
        <w:t>A one-year extension of the school administration manager authorization may be issued if the applicant does not meet the renewal requirements. The applicant must secure the signature of the superintendent or designee before the extension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22.7(9)</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holders of the school administration manager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22.7(10)</w:t>
      </w:r>
      <w:r>
        <w:rPr>
          <w:rFonts w:ascii="Times New Roman" w:hAnsi="Times New Roman"/>
          <w:b w:val="false"/>
          <w:i w:val="false"/>
          <w:color w:val="000000"/>
          <w:sz w:val="22"/>
        </w:rPr>
        <w:t> </w:t>
      </w:r>
      <w:r>
        <w:rPr>
          <w:rFonts w:ascii="Times New Roman" w:hAnsi="Times New Roman"/>
          <w:b w:val="false"/>
          <w:i/>
          <w:color w:val="000000"/>
          <w:sz w:val="22"/>
        </w:rPr>
        <w:t xml:space="preserve">Approval of courses. </w:t>
      </w:r>
      <w:r>
        <w:rPr>
          <w:rFonts w:ascii="Times New Roman" w:hAnsi="Times New Roman"/>
          <w:b w:val="false"/>
          <w:i w:val="false"/>
          <w:color w:val="000000"/>
          <w:sz w:val="22"/>
        </w:rPr>
        <w:t>Each institution of higher education, private college or university, community college, area education agency and professional organization that wishes to offer the semester credit hours for the school administration manager authorization must submit course descriptions for each offering to the board of educational examiners for approval. After initial approval, any changes by agencies or institutions in course offerings shall be filed with the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1086C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1542C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1721C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2230C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4634C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282—22.8</w:t>
      </w:r>
      <w:r>
        <w:rPr>
          <w:rFonts w:ascii="Times New Roman" w:hAnsi="Times New Roman"/>
          <w:b/>
          <w:i w:val="false"/>
          <w:color w:val="000000"/>
          <w:sz w:val="22"/>
        </w:rPr>
        <w:t xml:space="preserve">(272) </w:t>
      </w:r>
      <w:r>
        <w:rPr>
          <w:rFonts w:ascii="Times New Roman" w:hAnsi="Times New Roman"/>
          <w:b/>
          <w:i w:val="false"/>
          <w:color w:val="000000"/>
          <w:sz w:val="22"/>
        </w:rPr>
        <w:t xml:space="preserve">iJAG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Iowa jobs for America’s graduates (iJAG) authorization is provided to noneducators entering the education profession to teach iJAG coursework in grades 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iJAG authorization shall submit the application to the board of educational examiners for an evaluation. Application materials are available from the office of the board of educational examiners online at </w:t>
      </w:r>
      <w:hyperlink r:id="rId28">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completed a baccalaureate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Background check. The applicant must complete the background check requirements set forth in rule </w:t>
      </w:r>
      <w:hyperlink r:id="rId29">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completed a board of educational examiners-approved iJAG training program consisting of the following components and totaling a minimum of 40 clock hours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Instructional methods. Develop skills to effectively deliver project-based instruction in the iJAG core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Curriculum. Develop skills to effectively develop curriculum, projects and other educational opportunities consistent with the goals of iJAG.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Measurement and evaluation of programs and students. Analyze student data, administer testing, and monitor the following: basic skills, individualized development plans, attendance, graduation requirements, and course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Code of ethics. Develop an understanding of how to foster relationships with parents, students, school colleagues, and organizations in the larger community to support students’ learning and development and become aware of the board’s rules of professional practice and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Diversity training for educators. Develop an understanding of and sensitivity to the values, beliefs, lifestyles and attitudes of individuals and the diverse groups found in a pluralistic society, including preparation that contributes to the education of individuals with disabilities and the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obtain a recommendation from an iJAG administrator verifying that the organization wishes to hire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assigned a mentor by the hiring school district. The mentor must have four years of teaching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This authorization is valid for five years. No Class B license or license based on administrative decision may be issued to an applicant holding the iJAG authorization unless a teaching license is additionally obtained. No additional endorsement areas may be added to the iJAG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22.8(5)</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An applicant for renewal of the iJAG authorization must provide verification of completion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Required iJAG training as verified through an iJAG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and dependent adult abuse training as stated in </w:t>
      </w:r>
      <w:hyperlink r:id="rId30">
        <w:r>
          <w:rPr>
            <w:rStyle w:val="Hyperlink"/>
            <w:rFonts w:ascii="Times New Roman" w:hAnsi="Times New Roman"/>
            <w:b w:val="false"/>
            <w:i w:val="false"/>
            <w:color w:val="000000"/>
            <w:sz w:val="22"/>
          </w:rPr>
          <w:t>282—subrule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22.8(6)</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 of the iJAG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1322C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1721C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2230C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282—22.9</w:t>
      </w:r>
      <w:r>
        <w:rPr>
          <w:rFonts w:ascii="Times New Roman" w:hAnsi="Times New Roman"/>
          <w:b/>
          <w:i w:val="false"/>
          <w:color w:val="000000"/>
          <w:sz w:val="22"/>
        </w:rPr>
        <w:t xml:space="preserve">(272) </w:t>
      </w:r>
      <w:r>
        <w:rPr>
          <w:rFonts w:ascii="Times New Roman" w:hAnsi="Times New Roman"/>
          <w:b/>
          <w:i w:val="false"/>
          <w:color w:val="000000"/>
          <w:sz w:val="22"/>
        </w:rPr>
        <w:t xml:space="preserve">Requirements for the career and technical secondary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This authorization is provided to noneducators entering the education profession to instruct in occupations and specialty fields that are recognized in career and technical service areas and career cluster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career and technical secondary authorization shall submit the application to the board of educational examiners for an evaluation. Application materials are available from the office of the board of educational examiners online at </w:t>
      </w:r>
      <w:hyperlink r:id="rId31">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 Degrees and semester hour credits shall be completed through a college or university accredited by an institutional accrediting agency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the initial career and technical secondary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meet the background check requirements for licensure set forth in rule </w:t>
      </w:r>
      <w:hyperlink r:id="rId32">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obtain a recommendation from a school district administrator verifying that the school district wishes to hire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will meet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6,000 hours of recent and relevant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4,000 hours of recent and relevant experience if the applicant holds a baccalaureate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3,000 hours of recent and relevant experience if the applicant holds an associate’s degree in the teaching endorsement area sought, if such a degree is considered terminal for that field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a baccalaureate or graduate degree or closely related degree in the teaching endorsement area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Hold a baccalaureate degree in any area of study if at least 18 of the credit hours were completed in the teaching endorsement area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a career and technical cluster endorsement, meet one of the above qualifications and at least 2,000 hours of recent and relevant experience or 9 semester hours each in two additional areas within the cluster endorsement. Combinations of experience and education may be approved by the executive director.</w:t>
      </w:r>
    </w:p>
    <w:p>
      <w:pPr>
        <w:spacing w:before="0" w:after="0"/>
        <w:ind w:left="120"/>
        <w:jc w:val="both"/>
      </w:pPr>
      <w:r>
        <w:rPr>
          <w:rFonts w:ascii="Times New Roman" w:hAnsi="Times New Roman"/>
          <w:b w:val="false"/>
          <w:i w:val="false"/>
          <w:color w:val="000000"/>
          <w:sz w:val="22"/>
        </w:rPr>
        <w:t>Recent and relevant experience will have been accrued within the ten years prior to the date of application. Experience that does not meet these criteria may be considered at the discretion of the executive director. In subjects for which state registration, certification or licensure is required, the applicant will hold the appropriate license, registration or certificate before the initial career and technical secondary authorization or the career and technical secondary authorization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documentation of completion of a code of professional conduct and ethics training approved by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must commit to complete the following requirements within the term of the initial authorization. Coursework must be completed for semester hour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Coursework in the methods and techniques of career and technical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Coursework in course and curriculum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Coursework in the measurement and evaluation of programs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approved human relations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Coursework in the instruction of exceptional learners to include the education of individuals with disabilities and the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believe that their previous college coursework meets the coursework requirements in </w:t>
      </w:r>
      <w:hyperlink r:id="rId33">
        <w:r>
          <w:rPr>
            <w:rStyle w:val="Hyperlink"/>
            <w:rFonts w:ascii="Times New Roman" w:hAnsi="Times New Roman"/>
            <w:b w:val="false"/>
            <w:i w:val="false"/>
            <w:color w:val="000000"/>
            <w:sz w:val="22"/>
          </w:rPr>
          <w:t>22.9(3)</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may have the specific requirements waived. Transcripts or other supporting data should be provided to a teacher educator at one of the institutions which has an approved teacher education program. The results of the competency determination shall be forwarded with recommendations to the board of educational examiners. Board personnel will make final determination as to the competencies mastered and cite coursework which yet needs to be completed,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color w:val="000000"/>
          <w:sz w:val="22"/>
        </w:rPr>
        <w:t xml:space="preserve">Validity—initial authorization. </w:t>
      </w:r>
      <w:r>
        <w:rPr>
          <w:rFonts w:ascii="Times New Roman" w:hAnsi="Times New Roman"/>
          <w:b w:val="false"/>
          <w:i w:val="false"/>
          <w:color w:val="000000"/>
          <w:sz w:val="22"/>
        </w:rPr>
        <w:t>The initial career and technical secondary authorization is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22.9(5)</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initial career and technical secondary authorization may be renewed once if the candidate can demonstrate that coursework progress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22.9(6)</w:t>
      </w:r>
      <w:r>
        <w:rPr>
          <w:rFonts w:ascii="Times New Roman" w:hAnsi="Times New Roman"/>
          <w:b w:val="false"/>
          <w:i w:val="false"/>
          <w:color w:val="000000"/>
          <w:sz w:val="22"/>
        </w:rPr>
        <w:t> </w:t>
      </w:r>
      <w:r>
        <w:rPr>
          <w:rFonts w:ascii="Times New Roman" w:hAnsi="Times New Roman"/>
          <w:b w:val="false"/>
          <w:i/>
          <w:color w:val="000000"/>
          <w:sz w:val="22"/>
        </w:rPr>
        <w:t xml:space="preserve">Conversion. </w:t>
      </w:r>
      <w:r>
        <w:rPr>
          <w:rFonts w:ascii="Times New Roman" w:hAnsi="Times New Roman"/>
          <w:b w:val="false"/>
          <w:i w:val="false"/>
          <w:color w:val="000000"/>
          <w:sz w:val="22"/>
        </w:rPr>
        <w:t>The initial career and technical secondary authorization may be converted to a career and technical secondary authorization if the applicant has met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the required coursework set forth in paragraph </w:t>
      </w:r>
      <w:hyperlink r:id="rId34">
        <w:r>
          <w:rPr>
            <w:rStyle w:val="Hyperlink"/>
            <w:rFonts w:ascii="Times New Roman" w:hAnsi="Times New Roman"/>
            <w:b w:val="false"/>
            <w:i w:val="false"/>
            <w:color w:val="000000"/>
            <w:sz w:val="22"/>
          </w:rPr>
          <w:t>22.9(3)</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of completion of a code of professional conduct and ethics training approved by the board of educational examiners. The training must be completed after the issuance of the initial authorization and no more than three years prior to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22.9(7)</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the career and technical secondary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authorization is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this authorization must first meet the requirements for the initial career and technical secondary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requirements for the career and technical secondary authorization. Applicants for renewal must meet the requirements set forth in </w:t>
      </w:r>
      <w:hyperlink r:id="rId35">
        <w:r>
          <w:rPr>
            <w:rStyle w:val="Hyperlink"/>
            <w:rFonts w:ascii="Times New Roman" w:hAnsi="Times New Roman"/>
            <w:b w:val="false"/>
            <w:i w:val="false"/>
            <w:color w:val="000000"/>
            <w:sz w:val="22"/>
          </w:rPr>
          <w:t>282—subrule 20.5(1)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282—paragraphs 20.5(2)</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22.9(8)</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holders of the initial career and technical secondary authorization or the career and technical secondary authorization. If a school district hires an applicant without a valid license or authorization, a complaint may be filed against the teacher and the superintendent of the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2015C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3633C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5323C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 xml:space="preserve">; </w:t>
      </w:r>
      <w:r>
        <w:rPr>
          <w:rFonts w:ascii="Times New Roman" w:hAnsi="Times New Roman"/>
          <w:b/>
          <w:i w:val="false"/>
          <w:color w:val="000000"/>
          <w:sz w:val="16"/>
        </w:rPr>
        <w:t>ARC 5803C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8061C</w:t>
      </w:r>
      <w:r>
        <w:rPr>
          <w:rFonts w:ascii="Times New Roman" w:hAnsi="Times New Roman"/>
          <w:b w:val="false"/>
          <w:i w:val="false"/>
          <w:color w:val="000000"/>
          <w:sz w:val="16"/>
        </w:rPr>
        <w:t>, IAB 6/12/24, effective 5/23/24</w:t>
      </w:r>
      <w:r>
        <w:rPr>
          <w:rFonts w:ascii="Times New Roman" w:hAnsi="Times New Roman"/>
          <w:b w:val="false"/>
          <w:i w:val="false"/>
          <w:color w:val="000000"/>
          <w:sz w:val="16"/>
        </w:rPr>
        <w:t xml:space="preserve">; </w:t>
      </w:r>
      <w:r>
        <w:rPr>
          <w:rFonts w:ascii="Times New Roman" w:hAnsi="Times New Roman"/>
          <w:b/>
          <w:i w:val="false"/>
          <w:color w:val="000000"/>
          <w:sz w:val="16"/>
        </w:rPr>
        <w:t>ARC 8235C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282—22.10</w:t>
      </w:r>
      <w:r>
        <w:rPr>
          <w:rFonts w:ascii="Times New Roman" w:hAnsi="Times New Roman"/>
          <w:b/>
          <w:i w:val="false"/>
          <w:color w:val="000000"/>
          <w:sz w:val="22"/>
        </w:rPr>
        <w:t xml:space="preserve">(272) </w:t>
      </w:r>
      <w:r>
        <w:rPr>
          <w:rFonts w:ascii="Times New Roman" w:hAnsi="Times New Roman"/>
          <w:b/>
          <w:i w:val="false"/>
          <w:color w:val="000000"/>
          <w:sz w:val="22"/>
        </w:rPr>
        <w:t xml:space="preserve">Activities administration authorization. </w:t>
      </w:r>
      <w:r>
        <w:rPr>
          <w:rFonts w:ascii="Times New Roman" w:hAnsi="Times New Roman"/>
          <w:b w:val="false"/>
          <w:i w:val="false"/>
          <w:color w:val="000000"/>
          <w:sz w:val="22"/>
        </w:rPr>
        <w:t>An activities administration authorization allows an individual to administer any pupil activity program in a K-12 school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activities administration authorization shall submit an application and records of credit to the board of educational examiners for an evaluation of the required courses or contact hours. Application materials are available from the office of the board of educational examiners online at </w:t>
      </w:r>
      <w:hyperlink r:id="rId37">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 Degrees and semester hour credits shall be completed through a college or university accredited by an institutional accrediting agency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Applicants for the activities administration authorization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Degree. A baccalaureate degree or higher in athletic administration or related field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Credit hours. Applicants must complete credit hours or courses offered by the Leadership Training Institute (LTI) from the National Interscholastic Athletic Administrators Association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Successful completion of 1 semester credit hour or LTI course relating to knowledge and understanding of risk management, Title IX, sexual harassment, hazing, Americans with Disabilities Act (ADA), and employment law as they pertain to the role of the activities administrator.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Successful completion of 1 semester credit hour or LTI course relating to knowledge and understanding of activities administration foundations including philosophy, leadership, professional programs and activities administration principles, strategies and methods.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Successful completion of 1 semester credit hour or LTI course relating to knowledge and understanding of the role of the activities director in supporting and developing sports medicine programs, management of athletic player equipment, concussion assessment and proper fitting of athletic protective equipment, and sports field safety.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Successful completion of 1 semester credit hour or LTI course relating to knowledge and understanding of the techniques and theory of coaching concepts and strategies for interscholastic budget and concepts and strategies for interscholastic fundraising.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Successful completion of 1 semester credit hour or LTI course, approved by the board, relating to the assessment and evaluation of interscholastic athletic programs and personnel, dealing with challenging personalities, and administration of professional growth programs for interscholastic personnel.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Successful completion of the concussion training approved by the Iowa High School Athletic Association or Iowa Girls High School Athletic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age. </w:t>
      </w:r>
      <w:r>
        <w:rPr>
          <w:rFonts w:ascii="Times New Roman" w:hAnsi="Times New Roman"/>
          <w:b w:val="false"/>
          <w:i w:val="false"/>
          <w:color w:val="000000"/>
          <w:sz w:val="22"/>
        </w:rPr>
        <w:t>Applicants must have attained a minimum age of 21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 xml:space="preserve">Applicants must complete the background check requirements set forth in rule </w:t>
      </w:r>
      <w:hyperlink r:id="rId38">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activities administration authorization shall be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authorization may be renewed upon application and verification of successful completion of the following renewal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for renewal of an activities administration authorization must complete one of the following professional development options: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Document attendance at one state IHSADA convention and one LTI course relating to the knowledge and understanding of professional ethics and legal responsibilities of activities administrators.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Complete three LTI courses.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Complete 2 semester hours of college credit.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Complete 2 licensure renewal credits from an approved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renewal of an activities authorization must complete child and dependent adult abuse training as stated in </w:t>
      </w:r>
      <w:hyperlink r:id="rId39">
        <w:r>
          <w:rPr>
            <w:rStyle w:val="Hyperlink"/>
            <w:rFonts w:ascii="Times New Roman" w:hAnsi="Times New Roman"/>
            <w:b w:val="false"/>
            <w:i w:val="false"/>
            <w:color w:val="000000"/>
            <w:sz w:val="22"/>
          </w:rPr>
          <w:t>282—subrule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one-year extension of the applicant’s activities administration authorization may be issued if all requirements for the renewal of the activities administrator authorization have not been met. The one-year extension is nonrenewable.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22.10(4)</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holders of the activities administration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1718C</w:t>
      </w:r>
      <w:r>
        <w:rPr>
          <w:rFonts w:ascii="Times New Roman" w:hAnsi="Times New Roman"/>
          <w:b w:val="false"/>
          <w:i w:val="false"/>
          <w:color w:val="000000"/>
          <w:sz w:val="16"/>
        </w:rPr>
        <w:t>, IAB 11/12/14, effective 12/17/14</w:t>
      </w:r>
      <w:r>
        <w:rPr>
          <w:rFonts w:ascii="Times New Roman" w:hAnsi="Times New Roman"/>
          <w:b w:val="false"/>
          <w:i w:val="false"/>
          <w:color w:val="000000"/>
          <w:sz w:val="16"/>
        </w:rPr>
        <w:t xml:space="preserve">; </w:t>
      </w:r>
      <w:r>
        <w:rPr>
          <w:rFonts w:ascii="Times New Roman" w:hAnsi="Times New Roman"/>
          <w:b/>
          <w:i w:val="false"/>
          <w:color w:val="000000"/>
          <w:sz w:val="16"/>
        </w:rPr>
        <w:t>ARC 2230C</w:t>
      </w:r>
      <w:r>
        <w:rPr>
          <w:rFonts w:ascii="Times New Roman" w:hAnsi="Times New Roman"/>
          <w:b w:val="false"/>
          <w:i w:val="false"/>
          <w:color w:val="000000"/>
          <w:sz w:val="16"/>
        </w:rPr>
        <w:t>, IAB 11/11/15, effective 12/16/15</w:t>
      </w:r>
      <w:r>
        <w:rPr>
          <w:rFonts w:ascii="Times New Roman" w:hAnsi="Times New Roman"/>
          <w:b w:val="false"/>
          <w:i w:val="false"/>
          <w:color w:val="000000"/>
          <w:sz w:val="16"/>
        </w:rPr>
        <w:t xml:space="preserve">; </w:t>
      </w:r>
      <w:r>
        <w:rPr>
          <w:rFonts w:ascii="Times New Roman" w:hAnsi="Times New Roman"/>
          <w:b/>
          <w:i w:val="false"/>
          <w:color w:val="000000"/>
          <w:sz w:val="16"/>
        </w:rPr>
        <w:t>ARC 5803C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282—22.11</w:t>
      </w:r>
      <w:r>
        <w:rPr>
          <w:rFonts w:ascii="Times New Roman" w:hAnsi="Times New Roman"/>
          <w:b/>
          <w:i w:val="false"/>
          <w:color w:val="000000"/>
          <w:sz w:val="22"/>
        </w:rPr>
        <w:t xml:space="preserve">(272) </w:t>
      </w:r>
      <w:r>
        <w:rPr>
          <w:rFonts w:ascii="Times New Roman" w:hAnsi="Times New Roman"/>
          <w:b/>
          <w:i w:val="false"/>
          <w:color w:val="000000"/>
          <w:sz w:val="22"/>
        </w:rPr>
        <w:t xml:space="preserve">Extension. </w:t>
      </w:r>
      <w:r>
        <w:rPr>
          <w:rFonts w:ascii="Times New Roman" w:hAnsi="Times New Roman"/>
          <w:b w:val="false"/>
          <w:i w:val="false"/>
          <w:color w:val="000000"/>
          <w:sz w:val="22"/>
        </w:rPr>
        <w:t>For authorizations established in this chapter, a one-year extension may be issued if the applicant does not meet the requirements for authorization conversion or renewal. The applicant shall secure the signature of the superintendent or designee of the applicant’s employer and shall submit all required materials before the extension will be issued. This one-year extension is nonrenewable.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272.31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2121C</w:t>
      </w:r>
      <w:r>
        <w:rPr>
          <w:rFonts w:ascii="Times New Roman" w:hAnsi="Times New Roman"/>
          <w:b w:val="false"/>
          <w:i w:val="false"/>
          <w:color w:val="000000"/>
          <w:sz w:val="16"/>
        </w:rPr>
        <w:t>, IAB 9/2/15, effective 10/7/15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282—22.12</w:t>
      </w:r>
      <w:r>
        <w:rPr>
          <w:rFonts w:ascii="Times New Roman" w:hAnsi="Times New Roman"/>
          <w:b/>
          <w:i w:val="false"/>
          <w:color w:val="000000"/>
          <w:sz w:val="22"/>
        </w:rPr>
        <w:t xml:space="preserve">(272) </w:t>
      </w:r>
      <w:r>
        <w:rPr>
          <w:rFonts w:ascii="Times New Roman" w:hAnsi="Times New Roman"/>
          <w:b/>
          <w:i w:val="false"/>
          <w:color w:val="000000"/>
          <w:sz w:val="22"/>
        </w:rPr>
        <w:t xml:space="preserve">Orientation and mobility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The holder of this authorization may teach pupils with a visual impairment (see Iowa Code section </w:t>
      </w:r>
      <w:hyperlink r:id="rId41">
        <w:r>
          <w:rPr>
            <w:rStyle w:val="Hyperlink"/>
            <w:rFonts w:ascii="Times New Roman" w:hAnsi="Times New Roman"/>
            <w:b w:val="false"/>
            <w:i w:val="false"/>
            <w:color w:val="000000"/>
            <w:sz w:val="22"/>
          </w:rPr>
          <w:t>256B.2</w:t>
        </w:r>
      </w:hyperlink>
      <w:r>
        <w:rPr>
          <w:rFonts w:ascii="Times New Roman" w:hAnsi="Times New Roman"/>
          <w:b w:val="false"/>
          <w:i w:val="false"/>
          <w:color w:val="000000"/>
          <w:sz w:val="22"/>
        </w:rPr>
        <w:t>), including those pupils who are deaf-blind.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color w:val="000000"/>
          <w:sz w:val="22"/>
        </w:rPr>
        <w:t xml:space="preserve">Initial orientation and mobility authorization. </w:t>
      </w:r>
      <w:r>
        <w:rPr>
          <w:rFonts w:ascii="Times New Roman" w:hAnsi="Times New Roman"/>
          <w:b w:val="false"/>
          <w:i w:val="false"/>
          <w:color w:val="000000"/>
          <w:sz w:val="22"/>
        </w:rPr>
        <w:t>The initial authorization is valid for three years. Degrees and semester hour credits shall be completed through a college or university accredited by an institutional accrediting agency as recognized by the U.S. Department of Education.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baccalaureate or master’s degree from an approved state program in orientation and mobility or equivalent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completed an approved human relations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the exceptional learner program, which must include preparation that contributes to the education of students with disabilities and 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completed a minimum of 21 semester credit hours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aspects of blindness and visual impairment, including sensory motor.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Psychosocial aspects of blindness and visual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Concept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History of orientation and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Foundations of orientation and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Orientation and mobility instructional methods and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Techniques of orientation and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Research or evidence-based practices in orientation and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Professional issues in orientation and mobility, including legal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350 hours of fieldwork and training under the supervision of the university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Have completed the background check requirements set forth in rule </w:t>
      </w:r>
      <w:hyperlink r:id="rId42">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22.12(3)</w:t>
      </w:r>
      <w:r>
        <w:rPr>
          <w:rFonts w:ascii="Times New Roman" w:hAnsi="Times New Roman"/>
          <w:b w:val="false"/>
          <w:i w:val="false"/>
          <w:color w:val="000000"/>
          <w:sz w:val="22"/>
        </w:rPr>
        <w:t> </w:t>
      </w:r>
      <w:r>
        <w:rPr>
          <w:rFonts w:ascii="Times New Roman" w:hAnsi="Times New Roman"/>
          <w:b w:val="false"/>
          <w:i/>
          <w:color w:val="000000"/>
          <w:sz w:val="22"/>
        </w:rPr>
        <w:t xml:space="preserve">Standard orientation and mobility license. </w:t>
      </w:r>
      <w:r>
        <w:rPr>
          <w:rFonts w:ascii="Times New Roman" w:hAnsi="Times New Roman"/>
          <w:b w:val="false"/>
          <w:i w:val="false"/>
          <w:color w:val="000000"/>
          <w:sz w:val="22"/>
        </w:rPr>
        <w:t>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requirements set forth in subrule 22.12(2).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Verify successful completion of a three-year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22.12(4)</w:t>
      </w:r>
      <w:r>
        <w:rPr>
          <w:rFonts w:ascii="Times New Roman" w:hAnsi="Times New Roman"/>
          <w:b w:val="false"/>
          <w:i w:val="false"/>
          <w:color w:val="000000"/>
          <w:sz w:val="22"/>
        </w:rPr>
        <w:t> </w:t>
      </w:r>
      <w:r>
        <w:rPr>
          <w:rFonts w:ascii="Times New Roman" w:hAnsi="Times New Roman"/>
          <w:b w:val="false"/>
          <w:i/>
          <w:color w:val="000000"/>
          <w:sz w:val="22"/>
        </w:rPr>
        <w:t xml:space="preserve">Renewal of orientation and mobility license. </w:t>
      </w:r>
      <w:r>
        <w:rPr>
          <w:rFonts w:ascii="Times New Roman" w:hAnsi="Times New Roman"/>
          <w:b w:val="false"/>
          <w:i w:val="false"/>
          <w:color w:val="000000"/>
          <w:sz w:val="22"/>
        </w:rPr>
        <w:t xml:space="preserve">Applicants must meet the renewal requirements set forth in rule </w:t>
      </w:r>
      <w:hyperlink r:id="rId43">
        <w:r>
          <w:rPr>
            <w:rStyle w:val="Hyperlink"/>
            <w:rFonts w:ascii="Times New Roman" w:hAnsi="Times New Roman"/>
            <w:b w:val="false"/>
            <w:i w:val="false"/>
            <w:color w:val="000000"/>
            <w:sz w:val="22"/>
          </w:rPr>
          <w:t>282—20.3</w:t>
        </w:r>
      </w:hyperlink>
      <w:r>
        <w:rPr>
          <w:rFonts w:ascii="Times New Roman" w:hAnsi="Times New Roman"/>
          <w:b w:val="false"/>
          <w:i w:val="false"/>
          <w:color w:val="000000"/>
          <w:sz w:val="22"/>
        </w:rPr>
        <w:t xml:space="preserve">(272) and </w:t>
      </w:r>
      <w:hyperlink r:id="rId44">
        <w:r>
          <w:rPr>
            <w:rStyle w:val="Hyperlink"/>
            <w:rFonts w:ascii="Times New Roman" w:hAnsi="Times New Roman"/>
            <w:b w:val="false"/>
            <w:i w:val="false"/>
            <w:color w:val="000000"/>
            <w:sz w:val="22"/>
          </w:rPr>
          <w:t>282—subrule 20.5(2)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22.12(5)</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An orientation and mobility specialist is not eligible for any administrator license in either general education or special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5322C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 xml:space="preserve">; </w:t>
      </w:r>
      <w:r>
        <w:rPr>
          <w:rFonts w:ascii="Times New Roman" w:hAnsi="Times New Roman"/>
          <w:b/>
          <w:i w:val="false"/>
          <w:color w:val="000000"/>
          <w:sz w:val="16"/>
        </w:rPr>
        <w:t>ARC 5803C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282—22.13</w:t>
      </w:r>
      <w:r>
        <w:rPr>
          <w:rFonts w:ascii="Times New Roman" w:hAnsi="Times New Roman"/>
          <w:b/>
          <w:i w:val="false"/>
          <w:color w:val="000000"/>
          <w:sz w:val="22"/>
        </w:rPr>
        <w:t xml:space="preserve">(272) </w:t>
      </w:r>
      <w:r>
        <w:rPr>
          <w:rFonts w:ascii="Times New Roman" w:hAnsi="Times New Roman"/>
          <w:b/>
          <w:i w:val="false"/>
          <w:color w:val="000000"/>
          <w:sz w:val="22"/>
        </w:rPr>
        <w:t xml:space="preserve">Charter school administrator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The charter school administrator authorization is only valid for service or employment as a charter school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charter school administrator authorization shall submit an application to the board of educational examiners for an evaluation. Application materials are available from the office of the board of educational examiners online at </w:t>
      </w:r>
      <w:hyperlink r:id="rId45">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22.13(3)</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the initial charter school administrator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complete the background check requirements set forth in rule </w:t>
      </w:r>
      <w:hyperlink r:id="rId46">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 xml:space="preserve">(272).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obtain a recommendation from an Iowa charter school governing board verifying that the organization wishes to hire the applicant as a charter school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provide verification of completion of child and dependent adult abuse trainings as stated in </w:t>
      </w:r>
      <w:hyperlink r:id="rId47">
        <w:r>
          <w:rPr>
            <w:rStyle w:val="Hyperlink"/>
            <w:rFonts w:ascii="Times New Roman" w:hAnsi="Times New Roman"/>
            <w:b w:val="false"/>
            <w:i w:val="false"/>
            <w:color w:val="000000"/>
            <w:sz w:val="22"/>
          </w:rPr>
          <w:t>282—subrule 20.3(4)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22.13(4)</w:t>
      </w:r>
      <w:r>
        <w:rPr>
          <w:rFonts w:ascii="Times New Roman" w:hAnsi="Times New Roman"/>
          <w:b w:val="false"/>
          <w:i w:val="false"/>
          <w:color w:val="000000"/>
          <w:sz w:val="22"/>
        </w:rPr>
        <w:t> </w:t>
      </w:r>
      <w:r>
        <w:rPr>
          <w:rFonts w:ascii="Times New Roman" w:hAnsi="Times New Roman"/>
          <w:b w:val="false"/>
          <w:i/>
          <w:color w:val="000000"/>
          <w:sz w:val="22"/>
        </w:rPr>
        <w:t xml:space="preserve">Validity—initial authorization. </w:t>
      </w:r>
      <w:r>
        <w:rPr>
          <w:rFonts w:ascii="Times New Roman" w:hAnsi="Times New Roman"/>
          <w:b w:val="false"/>
          <w:i w:val="false"/>
          <w:color w:val="000000"/>
          <w:sz w:val="22"/>
        </w:rPr>
        <w:t xml:space="preserve">The initial charter school administrator authorization is valid for one year. No Class B license or license based on executive director decision may be issued to an applicant holding the initial charter school administrator authorization. No additional endorsement areas may be added to the initial charter school administrator authorization, with the exception of evaluator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22.13(5)</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The initial charter school administrator authorization may be renewed once.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22.13(6)</w:t>
      </w:r>
      <w:r>
        <w:rPr>
          <w:rFonts w:ascii="Times New Roman" w:hAnsi="Times New Roman"/>
          <w:b w:val="false"/>
          <w:i w:val="false"/>
          <w:color w:val="000000"/>
          <w:sz w:val="22"/>
        </w:rPr>
        <w:t> </w:t>
      </w:r>
      <w:r>
        <w:rPr>
          <w:rFonts w:ascii="Times New Roman" w:hAnsi="Times New Roman"/>
          <w:b w:val="false"/>
          <w:i/>
          <w:color w:val="000000"/>
          <w:sz w:val="22"/>
        </w:rPr>
        <w:t xml:space="preserve">Conversion. </w:t>
      </w:r>
      <w:r>
        <w:rPr>
          <w:rFonts w:ascii="Times New Roman" w:hAnsi="Times New Roman"/>
          <w:b w:val="false"/>
          <w:i w:val="false"/>
          <w:color w:val="000000"/>
          <w:sz w:val="22"/>
        </w:rPr>
        <w:t xml:space="preserve">The initial charter school administrator authorization may be converted to a charter school administrator authorization if the applicant has met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an approved code of professional conduct and ethics training. The training must be completed after the issuance of the initial authorization and no more than three years prior to the date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an approved evaluator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Recommendation from an Iowa charter school governing board verifying that the organization wishes to retain the applicant as a charter school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22.13(7)</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the charter school administrator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charter school administrator authorization is valid for five years. No Class B license or license based on executive director decision may be issued to an applicant holding the charter school administrator authorization. No additional endorsement areas may be added to the charter school administrator authorization, with the exception of evaluator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this authorization must first meet the requirements for the initial charter school administrator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renewal of the charter school administrator authorization must provide verification of completion of child and dependent adult abuse trainings as stated in </w:t>
      </w:r>
      <w:hyperlink r:id="rId48">
        <w:r>
          <w:rPr>
            <w:rStyle w:val="Hyperlink"/>
            <w:rFonts w:ascii="Times New Roman" w:hAnsi="Times New Roman"/>
            <w:b w:val="false"/>
            <w:i w:val="false"/>
            <w:color w:val="000000"/>
            <w:sz w:val="22"/>
          </w:rPr>
          <w:t>282—subrule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22.13(8)</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 xml:space="preserve">Criteria of the professional practice and rules of the board of educational examiners shall be applicable to holders of the initial charter school administrator authorization and charter school administrator authorization.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6125C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282—22.14</w:t>
      </w:r>
      <w:r>
        <w:rPr>
          <w:rFonts w:ascii="Times New Roman" w:hAnsi="Times New Roman"/>
          <w:b/>
          <w:i w:val="false"/>
          <w:color w:val="000000"/>
          <w:sz w:val="22"/>
        </w:rPr>
        <w:t xml:space="preserve">(272) </w:t>
      </w:r>
      <w:r>
        <w:rPr>
          <w:rFonts w:ascii="Times New Roman" w:hAnsi="Times New Roman"/>
          <w:b/>
          <w:i w:val="false"/>
          <w:color w:val="000000"/>
          <w:sz w:val="22"/>
        </w:rPr>
        <w:t xml:space="preserve">Work-based learning program supervisor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work-based learning program supervisor authorization is only valid for service or employment as a work-based learning program supervisor in grades 9-12.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work-based learning program supervisor authorization shall submit an application to the board of educational examiners for an evaluation. Application materials are available from the office of the board of educational examiners online at </w:t>
      </w:r>
      <w:hyperlink r:id="rId49">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22.14(3)</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the work-based learning program supervisor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complete the background check requirements set forth in rule </w:t>
      </w:r>
      <w:hyperlink r:id="rId50">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verification of completion of the work-based learning program supervisor course. The course must be approved by the board of educational examiners, shall not require more than 15 contact hours, shall be available over the Internet, and shall include content in the fundamentals of career education, curriculum, assessment, and the evaluation of student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provide verification of completion of child and dependent adult abuse trainings as stated in </w:t>
      </w:r>
      <w:hyperlink r:id="rId51">
        <w:r>
          <w:rPr>
            <w:rStyle w:val="Hyperlink"/>
            <w:rFonts w:ascii="Times New Roman" w:hAnsi="Times New Roman"/>
            <w:b w:val="false"/>
            <w:i w:val="false"/>
            <w:color w:val="000000"/>
            <w:sz w:val="22"/>
          </w:rPr>
          <w:t>282—subrule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22.14(4)</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work-based learning program supervisor authorization is valid for five years. No Class B license or license based on executive director decision may be issued to an applicant holding the work-based learning program supervisor authorization. No additional endorsement areas may be added to the work-based learning program supervisor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22.14(5)</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An applicant for renewal of the work-based learning program supervisor authorization must provide verification of completion of child and dependent adult abuse trainings as stated in </w:t>
      </w:r>
      <w:hyperlink r:id="rId52">
        <w:r>
          <w:rPr>
            <w:rStyle w:val="Hyperlink"/>
            <w:rFonts w:ascii="Times New Roman" w:hAnsi="Times New Roman"/>
            <w:b w:val="false"/>
            <w:i w:val="false"/>
            <w:color w:val="000000"/>
            <w:sz w:val="22"/>
          </w:rPr>
          <w:t>282—subrule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22.14(6)</w:t>
      </w:r>
      <w:r>
        <w:rPr>
          <w:rFonts w:ascii="Times New Roman" w:hAnsi="Times New Roman"/>
          <w:b w:val="false"/>
          <w:i w:val="false"/>
          <w:color w:val="000000"/>
          <w:sz w:val="22"/>
        </w:rPr>
        <w:t> </w:t>
      </w:r>
      <w:r>
        <w:rPr>
          <w:rFonts w:ascii="Times New Roman" w:hAnsi="Times New Roman"/>
          <w:b w:val="false"/>
          <w:i/>
          <w:color w:val="000000"/>
          <w:sz w:val="22"/>
        </w:rPr>
        <w:t xml:space="preserve">Temporary authorization. </w:t>
      </w:r>
      <w:r>
        <w:rPr>
          <w:rFonts w:ascii="Times New Roman" w:hAnsi="Times New Roman"/>
          <w:b w:val="false"/>
          <w:i w:val="false"/>
          <w:color w:val="000000"/>
          <w:sz w:val="22"/>
        </w:rPr>
        <w:t xml:space="preserve">A one-year temporary work-based learning program supervisor authorization may be issued to applicants who have met all other requirements with the exception of the work-based learning program supervisor course. This temporary authorization is nonrenewable and cannot be extended.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22.14(7)</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the professional practice and rules of the board of educational examiners shall be applicable to holders of the work-based learning program supervisor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282—22.15</w:t>
      </w:r>
      <w:r>
        <w:rPr>
          <w:rFonts w:ascii="Times New Roman" w:hAnsi="Times New Roman"/>
          <w:b/>
          <w:i w:val="false"/>
          <w:color w:val="000000"/>
          <w:sz w:val="22"/>
        </w:rPr>
        <w:t xml:space="preserve">(272) </w:t>
      </w:r>
      <w:r>
        <w:rPr>
          <w:rFonts w:ascii="Times New Roman" w:hAnsi="Times New Roman"/>
          <w:b/>
          <w:i w:val="false"/>
          <w:color w:val="000000"/>
          <w:sz w:val="22"/>
        </w:rPr>
        <w:t xml:space="preserve">Content specialist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This authorization is provided to applicants who have not completed a teacher preparation program but who hold a master’s degree or higher in an endorsement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Any person interested in the content specialist authorization shall submit an application to the board of educational examiners for an evaluation. Application materials are available from the office of the board of educational examiners online at </w:t>
      </w:r>
      <w:hyperlink r:id="rId53">
        <w:r>
          <w:rPr>
            <w:rStyle w:val="Hyperlink"/>
            <w:rFonts w:ascii="Times New Roman" w:hAnsi="Times New Roman"/>
            <w:b w:val="false"/>
            <w:i w:val="false"/>
            <w:color w:val="000000"/>
            <w:sz w:val="22"/>
            <w:u w:val="single"/>
          </w:rPr>
          <w:t>www.boee.iowa.gov</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Degrees and semester hour credits shall be completed through a college or university accredited by an institutional accrediting agency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22.15(3)</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the initial content specialist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completed a master’s degree or higher in an endorsement area through a college or university accredited by an institutional accrediting agency as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Background check. The applicant must complete the background check requirements set forth in rule </w:t>
      </w:r>
      <w:hyperlink r:id="rId54">
        <w:r>
          <w:rPr>
            <w:rStyle w:val="Hyperlink"/>
            <w:rFonts w:ascii="Times New Roman" w:hAnsi="Times New Roman"/>
            <w:b w:val="false"/>
            <w:i w:val="false"/>
            <w:color w:val="000000"/>
            <w:sz w:val="22"/>
          </w:rPr>
          <w:t>282—13.1</w:t>
        </w:r>
      </w:hyperlink>
      <w:r>
        <w:rPr>
          <w:rFonts w:ascii="Times New Roman" w:hAnsi="Times New Roman"/>
          <w:b w:val="false"/>
          <w:i w:val="false"/>
          <w:color w:val="000000"/>
          <w:sz w:val="22"/>
        </w:rPr>
        <w:t>(272).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obtain a recommendation from a school district administrator verifying that the school district wishes to hire the applicant. Before the applicant is hired, the school district administrator must verify that a diligent search was completed to hire a fully licensed teacher for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the term of the authorization, the applicant must complete board-approved training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Methods and techniques of teaching. Develop skills to use a variety of learning strategies that encourage students’ development of critical thinking, problem solving, and performance skills. The methods course must include specific methods and must be appropriate for the level of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Curriculum development. Develop an understanding of how students differ in their approaches to learning and create learning opportunities that are equitable and adaptable to diverse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Measurement and evaluation of programs and students. Develop skills to use a variety of authentic assessments to measure student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Classroom management. Develop an understanding of individual and group motivation and behavior which creates a learning environment that encourages positive social interactions, active engagement in learning, and self-motivation.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Code of ethics. Develop an understanding of how to foster relationships with parents, school colleagues, and organizations in the larger community to support students’ learning and development and become aware of the board’s rules of professional practice and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Human relations. Develop an understanding of diverse groups found in a pluralistic society, including students from diverse ethnic, racial, and socioeconomic backgrounds; students with disabilities and the gifted and talented; students who are struggling with literacy, including those with dyslexia; students who are English learners; and students who are at risk of not succeeding in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assigned a mentor by the hiring school district. The mentor must have four years of teaching experience in a related subject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22.15(4)</w:t>
      </w:r>
      <w:r>
        <w:rPr>
          <w:rFonts w:ascii="Times New Roman" w:hAnsi="Times New Roman"/>
          <w:b w:val="false"/>
          <w:i w:val="false"/>
          <w:color w:val="000000"/>
          <w:sz w:val="22"/>
        </w:rPr>
        <w:t> </w:t>
      </w:r>
      <w:r>
        <w:rPr>
          <w:rFonts w:ascii="Times New Roman" w:hAnsi="Times New Roman"/>
          <w:b w:val="false"/>
          <w:i/>
          <w:color w:val="000000"/>
          <w:sz w:val="22"/>
        </w:rPr>
        <w:t xml:space="preserve">Validity—initial authorization. </w:t>
      </w:r>
      <w:r>
        <w:rPr>
          <w:rFonts w:ascii="Times New Roman" w:hAnsi="Times New Roman"/>
          <w:b w:val="false"/>
          <w:i w:val="false"/>
          <w:color w:val="000000"/>
          <w:sz w:val="22"/>
        </w:rPr>
        <w:t>The initial content specialist authorization is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22.15(5)</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initial content specialist authorization may be renewed once if the candidate can demonstrate that coursework progress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22.15(6)</w:t>
      </w:r>
      <w:r>
        <w:rPr>
          <w:rFonts w:ascii="Times New Roman" w:hAnsi="Times New Roman"/>
          <w:b w:val="false"/>
          <w:i w:val="false"/>
          <w:color w:val="000000"/>
          <w:sz w:val="22"/>
        </w:rPr>
        <w:t> </w:t>
      </w:r>
      <w:r>
        <w:rPr>
          <w:rFonts w:ascii="Times New Roman" w:hAnsi="Times New Roman"/>
          <w:b w:val="false"/>
          <w:i/>
          <w:color w:val="000000"/>
          <w:sz w:val="22"/>
        </w:rPr>
        <w:t xml:space="preserve">Conversion. </w:t>
      </w:r>
      <w:r>
        <w:rPr>
          <w:rFonts w:ascii="Times New Roman" w:hAnsi="Times New Roman"/>
          <w:b w:val="false"/>
          <w:i w:val="false"/>
          <w:color w:val="000000"/>
          <w:sz w:val="22"/>
        </w:rPr>
        <w:t xml:space="preserve">The initial content specialist authorization may be converted to a content specialist authorization if the applicant has completed the required coursework set forth in </w:t>
      </w:r>
      <w:hyperlink r:id="rId55">
        <w:r>
          <w:rPr>
            <w:rStyle w:val="Hyperlink"/>
            <w:rFonts w:ascii="Times New Roman" w:hAnsi="Times New Roman"/>
            <w:b w:val="false"/>
            <w:i w:val="false"/>
            <w:color w:val="000000"/>
            <w:sz w:val="22"/>
          </w:rPr>
          <w:t>paragraph 22.15(3)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22.15(7)</w:t>
      </w:r>
      <w:r>
        <w:rPr>
          <w:rFonts w:ascii="Times New Roman" w:hAnsi="Times New Roman"/>
          <w:b w:val="false"/>
          <w:i w:val="false"/>
          <w:color w:val="000000"/>
          <w:sz w:val="22"/>
        </w:rPr>
        <w:t> </w:t>
      </w:r>
      <w:r>
        <w:rPr>
          <w:rFonts w:ascii="Times New Roman" w:hAnsi="Times New Roman"/>
          <w:b w:val="false"/>
          <w:i/>
          <w:color w:val="000000"/>
          <w:sz w:val="22"/>
        </w:rPr>
        <w:t xml:space="preserve">Specific requirements for the content specialist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authorization is valid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this authorization must first meet the requirements for the initial content specialist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requirements for the content specialist authorization. Applicants for renewal must meet the requirements set forth in </w:t>
      </w:r>
      <w:hyperlink r:id="rId56">
        <w:r>
          <w:rPr>
            <w:rStyle w:val="Hyperlink"/>
            <w:rFonts w:ascii="Times New Roman" w:hAnsi="Times New Roman"/>
            <w:b w:val="false"/>
            <w:i w:val="false"/>
            <w:color w:val="000000"/>
            <w:sz w:val="22"/>
          </w:rPr>
          <w:t>282—subrule 20.5(1)</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282—paragraphs 20.5(2)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22.15(8)</w:t>
      </w:r>
      <w:r>
        <w:rPr>
          <w:rFonts w:ascii="Times New Roman" w:hAnsi="Times New Roman"/>
          <w:b w:val="false"/>
          <w:i w:val="false"/>
          <w:color w:val="000000"/>
          <w:sz w:val="22"/>
        </w:rPr>
        <w:t> </w:t>
      </w:r>
      <w:r>
        <w:rPr>
          <w:rFonts w:ascii="Times New Roman" w:hAnsi="Times New Roman"/>
          <w:b w:val="false"/>
          <w:i/>
          <w:color w:val="000000"/>
          <w:sz w:val="22"/>
        </w:rPr>
        <w:t xml:space="preserve">Revocation and suspension. </w:t>
      </w:r>
      <w:r>
        <w:rPr>
          <w:rFonts w:ascii="Times New Roman" w:hAnsi="Times New Roman"/>
          <w:b w:val="false"/>
          <w:i w:val="false"/>
          <w:color w:val="000000"/>
          <w:sz w:val="22"/>
        </w:rPr>
        <w:t>Criteria of professional practice and rules of the board of educational examiners shall be applicable to the holders of the initial career and technical secondary authorization or the career and technical secondary authorization. If a school district hires an applicant without a valid license or authorization, a complaint may be filed against the teacher and the superintendent of the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8">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7745B</w:t>
      </w:r>
      <w:r>
        <w:rPr>
          <w:rFonts w:ascii="Times New Roman" w:hAnsi="Times New Roman"/>
          <w:b w:val="false"/>
          <w:i w:val="false"/>
          <w:color w:val="000000"/>
          <w:sz w:val="21"/>
        </w:rPr>
        <w:t xml:space="preserve"> (Notice ARC 7329B, IAB 11/5/08)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9572B</w:t>
      </w:r>
      <w:r>
        <w:rPr>
          <w:rFonts w:ascii="Times New Roman" w:hAnsi="Times New Roman"/>
          <w:b w:val="false"/>
          <w:i w:val="false"/>
          <w:color w:val="000000"/>
          <w:sz w:val="21"/>
        </w:rPr>
        <w:t xml:space="preserve"> (Notice ARC 9381B, IAB 2/23/11)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0562C</w:t>
      </w:r>
      <w:r>
        <w:rPr>
          <w:rFonts w:ascii="Times New Roman" w:hAnsi="Times New Roman"/>
          <w:b w:val="false"/>
          <w:i w:val="false"/>
          <w:color w:val="000000"/>
          <w:sz w:val="21"/>
        </w:rPr>
        <w:t xml:space="preserve"> (Notice ARC 0443C, IAB 11/14/12)</w:t>
      </w:r>
      <w:r>
        <w:rPr>
          <w:rFonts w:ascii="Times New Roman" w:hAnsi="Times New Roman"/>
          <w:b w:val="false"/>
          <w:i w:val="false"/>
          <w:color w:val="000000"/>
          <w:sz w:val="21"/>
        </w:rPr>
        <w:t>, IAB 1/23/13, effective 2/27/13]</w:t>
      </w:r>
    </w:p>
    <w:p>
      <w:pPr>
        <w:spacing w:before="0" w:after="0"/>
        <w:ind w:left="120"/>
        <w:jc w:val="center"/>
      </w:pPr>
      <w:r>
        <w:rPr>
          <w:rFonts w:ascii="Times New Roman" w:hAnsi="Times New Roman"/>
          <w:b w:val="false"/>
          <w:i w:val="false"/>
          <w:color w:val="000000"/>
          <w:sz w:val="21"/>
        </w:rPr>
        <w:t>[Filed ARC 0865C</w:t>
      </w:r>
      <w:r>
        <w:rPr>
          <w:rFonts w:ascii="Times New Roman" w:hAnsi="Times New Roman"/>
          <w:b w:val="false"/>
          <w:i w:val="false"/>
          <w:color w:val="000000"/>
          <w:sz w:val="21"/>
        </w:rPr>
        <w:t xml:space="preserve"> (Notice ARC 0676C, IAB 4/3/13)</w:t>
      </w:r>
      <w:r>
        <w:rPr>
          <w:rFonts w:ascii="Times New Roman" w:hAnsi="Times New Roman"/>
          <w:b w:val="false"/>
          <w:i w:val="false"/>
          <w:color w:val="000000"/>
          <w:sz w:val="21"/>
        </w:rPr>
        <w:t>, IAB 7/24/13, effective 8/28/13]</w:t>
      </w:r>
      <w:r>
        <w:br/>
      </w:r>
      <w:r>
        <w:rPr>
          <w:rFonts w:ascii="Times New Roman" w:hAnsi="Times New Roman"/>
          <w:b w:val="false"/>
          <w:i w:val="false"/>
          <w:color w:val="000000"/>
          <w:sz w:val="21"/>
        </w:rPr>
        <w:t>[Filed ARC 0866C</w:t>
      </w:r>
      <w:r>
        <w:rPr>
          <w:rFonts w:ascii="Times New Roman" w:hAnsi="Times New Roman"/>
          <w:b w:val="false"/>
          <w:i w:val="false"/>
          <w:color w:val="000000"/>
          <w:sz w:val="21"/>
        </w:rPr>
        <w:t xml:space="preserve"> (Notice ARC 0696C, IAB 5/1/13)</w:t>
      </w:r>
      <w:r>
        <w:rPr>
          <w:rFonts w:ascii="Times New Roman" w:hAnsi="Times New Roman"/>
          <w:b w:val="false"/>
          <w:i w:val="false"/>
          <w:color w:val="000000"/>
          <w:sz w:val="21"/>
        </w:rPr>
        <w:t>, IAB 7/24/13, effective 8/28/13]</w:t>
      </w:r>
      <w:r>
        <w:br/>
      </w:r>
      <w:r>
        <w:rPr>
          <w:rFonts w:ascii="Times New Roman" w:hAnsi="Times New Roman"/>
          <w:b w:val="false"/>
          <w:i w:val="false"/>
          <w:color w:val="000000"/>
          <w:sz w:val="21"/>
        </w:rPr>
        <w:t>[Filed ARC 0869C</w:t>
      </w:r>
      <w:r>
        <w:rPr>
          <w:rFonts w:ascii="Times New Roman" w:hAnsi="Times New Roman"/>
          <w:b w:val="false"/>
          <w:i w:val="false"/>
          <w:color w:val="000000"/>
          <w:sz w:val="21"/>
        </w:rPr>
        <w:t xml:space="preserve"> (Notice ARC 0704C,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1086C</w:t>
      </w:r>
      <w:r>
        <w:rPr>
          <w:rFonts w:ascii="Times New Roman" w:hAnsi="Times New Roman"/>
          <w:b w:val="false"/>
          <w:i w:val="false"/>
          <w:color w:val="000000"/>
          <w:sz w:val="21"/>
        </w:rPr>
        <w:t xml:space="preserve"> (Notice ARC 0877C, IAB 7/24/13)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1087C</w:t>
      </w:r>
      <w:r>
        <w:rPr>
          <w:rFonts w:ascii="Times New Roman" w:hAnsi="Times New Roman"/>
          <w:b w:val="false"/>
          <w:i w:val="false"/>
          <w:color w:val="000000"/>
          <w:sz w:val="21"/>
        </w:rPr>
        <w:t xml:space="preserve"> (Notice ARC 0878C, IAB 7/24/13)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1322C</w:t>
      </w:r>
      <w:r>
        <w:rPr>
          <w:rFonts w:ascii="Times New Roman" w:hAnsi="Times New Roman"/>
          <w:b w:val="false"/>
          <w:i w:val="false"/>
          <w:color w:val="000000"/>
          <w:sz w:val="21"/>
        </w:rPr>
        <w:t xml:space="preserve"> (Notice ARC 1180C, IAB 11/13/13)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1542C</w:t>
      </w:r>
      <w:r>
        <w:rPr>
          <w:rFonts w:ascii="Times New Roman" w:hAnsi="Times New Roman"/>
          <w:b w:val="false"/>
          <w:i w:val="false"/>
          <w:color w:val="000000"/>
          <w:sz w:val="21"/>
        </w:rPr>
        <w:t xml:space="preserve"> (Notice ARC 1379C, IAB 3/19/14)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1720C</w:t>
      </w:r>
      <w:r>
        <w:rPr>
          <w:rFonts w:ascii="Times New Roman" w:hAnsi="Times New Roman"/>
          <w:b w:val="false"/>
          <w:i w:val="false"/>
          <w:color w:val="000000"/>
          <w:sz w:val="21"/>
        </w:rPr>
        <w:t xml:space="preserve"> (Notice ARC 1552C, IAB 7/23/14)</w:t>
      </w:r>
      <w:r>
        <w:rPr>
          <w:rFonts w:ascii="Times New Roman" w:hAnsi="Times New Roman"/>
          <w:b w:val="false"/>
          <w:i w:val="false"/>
          <w:color w:val="000000"/>
          <w:sz w:val="21"/>
        </w:rPr>
        <w:t>, IAB 11/12/14, effective 12/17/14]</w:t>
      </w:r>
      <w:r>
        <w:br/>
      </w:r>
      <w:r>
        <w:rPr>
          <w:rFonts w:ascii="Times New Roman" w:hAnsi="Times New Roman"/>
          <w:b w:val="false"/>
          <w:i w:val="false"/>
          <w:color w:val="000000"/>
          <w:sz w:val="21"/>
        </w:rPr>
        <w:t>[Filed ARC 1719C</w:t>
      </w:r>
      <w:r>
        <w:rPr>
          <w:rFonts w:ascii="Times New Roman" w:hAnsi="Times New Roman"/>
          <w:b w:val="false"/>
          <w:i w:val="false"/>
          <w:color w:val="000000"/>
          <w:sz w:val="21"/>
        </w:rPr>
        <w:t xml:space="preserve"> (Notice ARC 1551C, IAB 7/23/14)</w:t>
      </w:r>
      <w:r>
        <w:rPr>
          <w:rFonts w:ascii="Times New Roman" w:hAnsi="Times New Roman"/>
          <w:b w:val="false"/>
          <w:i w:val="false"/>
          <w:color w:val="000000"/>
          <w:sz w:val="21"/>
        </w:rPr>
        <w:t>, IAB 11/12/14, effective 12/17/14]</w:t>
      </w:r>
      <w:r>
        <w:br/>
      </w:r>
      <w:r>
        <w:rPr>
          <w:rFonts w:ascii="Times New Roman" w:hAnsi="Times New Roman"/>
          <w:b w:val="false"/>
          <w:i w:val="false"/>
          <w:color w:val="000000"/>
          <w:sz w:val="21"/>
        </w:rPr>
        <w:t>[Filed ARC 1721C</w:t>
      </w:r>
      <w:r>
        <w:rPr>
          <w:rFonts w:ascii="Times New Roman" w:hAnsi="Times New Roman"/>
          <w:b w:val="false"/>
          <w:i w:val="false"/>
          <w:color w:val="000000"/>
          <w:sz w:val="21"/>
        </w:rPr>
        <w:t xml:space="preserve"> (Notice ARC 1604C, IAB 9/3/14)</w:t>
      </w:r>
      <w:r>
        <w:rPr>
          <w:rFonts w:ascii="Times New Roman" w:hAnsi="Times New Roman"/>
          <w:b w:val="false"/>
          <w:i w:val="false"/>
          <w:color w:val="000000"/>
          <w:sz w:val="21"/>
        </w:rPr>
        <w:t>, IAB 11/12/14, effective 12/17/14]</w:t>
      </w:r>
      <w:r>
        <w:br/>
      </w:r>
      <w:r>
        <w:rPr>
          <w:rFonts w:ascii="Times New Roman" w:hAnsi="Times New Roman"/>
          <w:b w:val="false"/>
          <w:i w:val="false"/>
          <w:color w:val="000000"/>
          <w:sz w:val="21"/>
        </w:rPr>
        <w:t>[Filed ARC 1718C</w:t>
      </w:r>
      <w:r>
        <w:rPr>
          <w:rFonts w:ascii="Times New Roman" w:hAnsi="Times New Roman"/>
          <w:b w:val="false"/>
          <w:i w:val="false"/>
          <w:color w:val="000000"/>
          <w:sz w:val="21"/>
        </w:rPr>
        <w:t xml:space="preserve"> (Notice ARC 1605C,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2015C</w:t>
      </w:r>
      <w:r>
        <w:rPr>
          <w:rFonts w:ascii="Times New Roman" w:hAnsi="Times New Roman"/>
          <w:b w:val="false"/>
          <w:i w:val="false"/>
          <w:color w:val="000000"/>
          <w:sz w:val="21"/>
        </w:rPr>
        <w:t xml:space="preserve"> (Notice ARC 1917C, IAB 3/18/15)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2121C</w:t>
      </w:r>
      <w:r>
        <w:rPr>
          <w:rFonts w:ascii="Times New Roman" w:hAnsi="Times New Roman"/>
          <w:b w:val="false"/>
          <w:i w:val="false"/>
          <w:color w:val="000000"/>
          <w:sz w:val="21"/>
        </w:rPr>
        <w:t xml:space="preserve"> (Notice ARC 2024C, IAB 6/10/15)</w:t>
      </w:r>
      <w:r>
        <w:rPr>
          <w:rFonts w:ascii="Times New Roman" w:hAnsi="Times New Roman"/>
          <w:b w:val="false"/>
          <w:i w:val="false"/>
          <w:color w:val="000000"/>
          <w:sz w:val="21"/>
        </w:rPr>
        <w:t>, IAB 9/2/15, effective 10/7/15]</w:t>
      </w:r>
    </w:p>
    <w:p>
      <w:pPr>
        <w:spacing w:before="0" w:after="0"/>
        <w:ind w:left="120"/>
        <w:jc w:val="center"/>
      </w:pPr>
      <w:r>
        <w:rPr>
          <w:rFonts w:ascii="Times New Roman" w:hAnsi="Times New Roman"/>
          <w:b w:val="false"/>
          <w:i w:val="false"/>
          <w:color w:val="000000"/>
          <w:sz w:val="21"/>
        </w:rPr>
        <w:t>[Filed ARC 2230C</w:t>
      </w:r>
      <w:r>
        <w:rPr>
          <w:rFonts w:ascii="Times New Roman" w:hAnsi="Times New Roman"/>
          <w:b w:val="false"/>
          <w:i w:val="false"/>
          <w:color w:val="000000"/>
          <w:sz w:val="21"/>
        </w:rPr>
        <w:t xml:space="preserve"> (Notice ARC 2130C,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2528C</w:t>
      </w:r>
      <w:r>
        <w:rPr>
          <w:rFonts w:ascii="Times New Roman" w:hAnsi="Times New Roman"/>
          <w:b w:val="false"/>
          <w:i w:val="false"/>
          <w:color w:val="000000"/>
          <w:sz w:val="21"/>
        </w:rPr>
        <w:t xml:space="preserve"> (Notice ARC 2411C, IAB 2/17/16)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2588C</w:t>
      </w:r>
      <w:r>
        <w:rPr>
          <w:rFonts w:ascii="Times New Roman" w:hAnsi="Times New Roman"/>
          <w:b w:val="false"/>
          <w:i w:val="false"/>
          <w:color w:val="000000"/>
          <w:sz w:val="21"/>
        </w:rPr>
        <w:t xml:space="preserve"> (Notice ARC 2445C, IAB 3/16/16)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2793C</w:t>
      </w:r>
      <w:r>
        <w:rPr>
          <w:rFonts w:ascii="Times New Roman" w:hAnsi="Times New Roman"/>
          <w:b w:val="false"/>
          <w:i w:val="false"/>
          <w:color w:val="000000"/>
          <w:sz w:val="21"/>
        </w:rPr>
        <w:t xml:space="preserve"> (Notice ARC 2690C, IAB 8/31/16)</w:t>
      </w:r>
      <w:r>
        <w:rPr>
          <w:rFonts w:ascii="Times New Roman" w:hAnsi="Times New Roman"/>
          <w:b w:val="false"/>
          <w:i w:val="false"/>
          <w:color w:val="000000"/>
          <w:sz w:val="21"/>
        </w:rPr>
        <w:t>, IAB 11/9/16, effective 12/14/16]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3196C</w:t>
      </w:r>
      <w:r>
        <w:rPr>
          <w:rFonts w:ascii="Times New Roman" w:hAnsi="Times New Roman"/>
          <w:b w:val="false"/>
          <w:i w:val="false"/>
          <w:color w:val="000000"/>
          <w:sz w:val="21"/>
        </w:rPr>
        <w:t xml:space="preserve"> (Notice ARC 3012C, IAB 4/12/17)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3633C</w:t>
      </w:r>
      <w:r>
        <w:rPr>
          <w:rFonts w:ascii="Times New Roman" w:hAnsi="Times New Roman"/>
          <w:b w:val="false"/>
          <w:i w:val="false"/>
          <w:color w:val="000000"/>
          <w:sz w:val="21"/>
        </w:rPr>
        <w:t xml:space="preserve"> (Notice ARC 3471C, IAB 12/6/17)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4634C</w:t>
      </w:r>
      <w:r>
        <w:rPr>
          <w:rFonts w:ascii="Times New Roman" w:hAnsi="Times New Roman"/>
          <w:b w:val="false"/>
          <w:i w:val="false"/>
          <w:color w:val="000000"/>
          <w:sz w:val="21"/>
        </w:rPr>
        <w:t xml:space="preserve"> (Notice ARC 4504C, IAB 6/19/19)</w:t>
      </w:r>
      <w:r>
        <w:rPr>
          <w:rFonts w:ascii="Times New Roman" w:hAnsi="Times New Roman"/>
          <w:b w:val="false"/>
          <w:i w:val="false"/>
          <w:color w:val="000000"/>
          <w:sz w:val="21"/>
        </w:rPr>
        <w:t>, IAB 8/28/19, effective 10/2/19]</w:t>
      </w:r>
      <w:r>
        <w:br/>
      </w:r>
      <w:r>
        <w:rPr>
          <w:rFonts w:ascii="Times New Roman" w:hAnsi="Times New Roman"/>
          <w:b w:val="false"/>
          <w:i w:val="false"/>
          <w:color w:val="000000"/>
          <w:sz w:val="21"/>
        </w:rPr>
        <w:t>[Filed ARC 4635C</w:t>
      </w:r>
      <w:r>
        <w:rPr>
          <w:rFonts w:ascii="Times New Roman" w:hAnsi="Times New Roman"/>
          <w:b w:val="false"/>
          <w:i w:val="false"/>
          <w:color w:val="000000"/>
          <w:sz w:val="21"/>
        </w:rPr>
        <w:t xml:space="preserve"> (Notice ARC 4501C,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5303C</w:t>
      </w:r>
      <w:r>
        <w:rPr>
          <w:rFonts w:ascii="Times New Roman" w:hAnsi="Times New Roman"/>
          <w:b w:val="false"/>
          <w:i w:val="false"/>
          <w:color w:val="000000"/>
          <w:sz w:val="21"/>
        </w:rPr>
        <w:t xml:space="preserve"> (Notice ARC 5169C, IAB 9/9/20)</w:t>
      </w:r>
      <w:r>
        <w:rPr>
          <w:rFonts w:ascii="Times New Roman" w:hAnsi="Times New Roman"/>
          <w:b w:val="false"/>
          <w:i w:val="false"/>
          <w:color w:val="000000"/>
          <w:sz w:val="21"/>
        </w:rPr>
        <w:t>, IAB 12/2/20, effective 1/6/21]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5322C</w:t>
      </w:r>
      <w:r>
        <w:rPr>
          <w:rFonts w:ascii="Times New Roman" w:hAnsi="Times New Roman"/>
          <w:b w:val="false"/>
          <w:i w:val="false"/>
          <w:color w:val="000000"/>
          <w:sz w:val="21"/>
        </w:rPr>
        <w:t xml:space="preserve"> (Notice ARC 5212C,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5323C</w:t>
      </w:r>
      <w:r>
        <w:rPr>
          <w:rFonts w:ascii="Times New Roman" w:hAnsi="Times New Roman"/>
          <w:b w:val="false"/>
          <w:i w:val="false"/>
          <w:color w:val="000000"/>
          <w:sz w:val="21"/>
        </w:rPr>
        <w:t xml:space="preserve"> (Notice ARC 5215C,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5321C</w:t>
      </w:r>
      <w:r>
        <w:rPr>
          <w:rFonts w:ascii="Times New Roman" w:hAnsi="Times New Roman"/>
          <w:b w:val="false"/>
          <w:i w:val="false"/>
          <w:color w:val="000000"/>
          <w:sz w:val="21"/>
        </w:rPr>
        <w:t xml:space="preserve"> (Notice ARC 5216C,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5803C</w:t>
      </w:r>
      <w:r>
        <w:rPr>
          <w:rFonts w:ascii="Times New Roman" w:hAnsi="Times New Roman"/>
          <w:b w:val="false"/>
          <w:i w:val="false"/>
          <w:color w:val="000000"/>
          <w:sz w:val="21"/>
        </w:rPr>
        <w:t xml:space="preserve"> (Notice ARC 5665C, IAB 6/2/21)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6125C</w:t>
      </w:r>
      <w:r>
        <w:rPr>
          <w:rFonts w:ascii="Times New Roman" w:hAnsi="Times New Roman"/>
          <w:b w:val="false"/>
          <w:i w:val="false"/>
          <w:color w:val="000000"/>
          <w:sz w:val="21"/>
        </w:rPr>
        <w:t xml:space="preserve"> (Notice ARC 5936C, IAB 10/6/21)</w:t>
      </w:r>
      <w:r>
        <w:rPr>
          <w:rFonts w:ascii="Times New Roman" w:hAnsi="Times New Roman"/>
          <w:b w:val="false"/>
          <w:i w:val="false"/>
          <w:color w:val="000000"/>
          <w:sz w:val="21"/>
        </w:rPr>
        <w:t>, IAB 1/12/22, effective 2/16/22]</w:t>
      </w:r>
      <w:r>
        <w:br/>
      </w:r>
      <w:r>
        <w:rPr>
          <w:rFonts w:ascii="Times New Roman" w:hAnsi="Times New Roman"/>
          <w:b w:val="false"/>
          <w:i w:val="false"/>
          <w:color w:val="000000"/>
          <w:sz w:val="21"/>
        </w:rPr>
        <w:t>[Filed ARC 6126C</w:t>
      </w:r>
      <w:r>
        <w:rPr>
          <w:rFonts w:ascii="Times New Roman" w:hAnsi="Times New Roman"/>
          <w:b w:val="false"/>
          <w:i w:val="false"/>
          <w:color w:val="000000"/>
          <w:sz w:val="21"/>
        </w:rPr>
        <w:t xml:space="preserve"> (Notice ARC 5937C,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6867C</w:t>
      </w:r>
      <w:r>
        <w:rPr>
          <w:rFonts w:ascii="Times New Roman" w:hAnsi="Times New Roman"/>
          <w:b w:val="false"/>
          <w:i w:val="false"/>
          <w:color w:val="000000"/>
          <w:sz w:val="21"/>
        </w:rPr>
        <w:t xml:space="preserve"> (Notice ARC 6680C, IAB 11/16/22)</w:t>
      </w:r>
      <w:r>
        <w:rPr>
          <w:rFonts w:ascii="Times New Roman" w:hAnsi="Times New Roman"/>
          <w:b w:val="false"/>
          <w:i w:val="false"/>
          <w:color w:val="000000"/>
          <w:sz w:val="21"/>
        </w:rPr>
        <w:t>, IAB 2/8/23, effective 3/15/23]</w:t>
      </w:r>
      <w:r>
        <w:br/>
      </w:r>
      <w:r>
        <w:rPr>
          <w:rFonts w:ascii="Times New Roman" w:hAnsi="Times New Roman"/>
          <w:b w:val="false"/>
          <w:i w:val="false"/>
          <w:color w:val="000000"/>
          <w:sz w:val="21"/>
        </w:rPr>
        <w:t>[Filed ARC 6869C</w:t>
      </w:r>
      <w:r>
        <w:rPr>
          <w:rFonts w:ascii="Times New Roman" w:hAnsi="Times New Roman"/>
          <w:b w:val="false"/>
          <w:i w:val="false"/>
          <w:color w:val="000000"/>
          <w:sz w:val="21"/>
        </w:rPr>
        <w:t xml:space="preserve"> (Notice ARC 6678C, IAB 11/16/22)</w:t>
      </w:r>
      <w:r>
        <w:rPr>
          <w:rFonts w:ascii="Times New Roman" w:hAnsi="Times New Roman"/>
          <w:b w:val="false"/>
          <w:i w:val="false"/>
          <w:color w:val="000000"/>
          <w:sz w:val="21"/>
        </w:rPr>
        <w:t>, IAB 2/8/23, effective 3/15/23]</w:t>
      </w:r>
      <w:r>
        <w:br/>
      </w:r>
      <w:r>
        <w:rPr>
          <w:rFonts w:ascii="Times New Roman" w:hAnsi="Times New Roman"/>
          <w:b w:val="false"/>
          <w:i w:val="false"/>
          <w:color w:val="000000"/>
          <w:sz w:val="21"/>
        </w:rPr>
        <w:t>[Filed ARC 6870C</w:t>
      </w:r>
      <w:r>
        <w:rPr>
          <w:rFonts w:ascii="Times New Roman" w:hAnsi="Times New Roman"/>
          <w:b w:val="false"/>
          <w:i w:val="false"/>
          <w:color w:val="000000"/>
          <w:sz w:val="21"/>
        </w:rPr>
        <w:t xml:space="preserve"> (Notice ARC 6677C,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Emergency ARC 8061C, IAB 6/12/24, effective 5/23/24]</w:t>
      </w:r>
    </w:p>
    <w:p>
      <w:pPr>
        <w:spacing w:before="0" w:after="0"/>
        <w:ind w:left="120"/>
        <w:jc w:val="center"/>
      </w:pPr>
      <w:r>
        <w:rPr>
          <w:rFonts w:ascii="Times New Roman" w:hAnsi="Times New Roman"/>
          <w:b w:val="false"/>
          <w:i w:val="false"/>
          <w:color w:val="000000"/>
          <w:sz w:val="21"/>
        </w:rPr>
        <w:t>[Filed ARC 8235C</w:t>
      </w:r>
      <w:r>
        <w:rPr>
          <w:rFonts w:ascii="Times New Roman" w:hAnsi="Times New Roman"/>
          <w:b w:val="false"/>
          <w:i w:val="false"/>
          <w:color w:val="000000"/>
          <w:sz w:val="21"/>
        </w:rPr>
        <w:t xml:space="preserve"> (Notice ARC 8062C, IAB 6/12/24)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December 14, 2016, effective date of 22.1(2)</w:t>
      </w:r>
      <w:r>
        <w:rPr>
          <w:rFonts w:ascii="Times New Roman" w:hAnsi="Times New Roman"/>
          <w:b w:val="false"/>
          <w:i/>
          <w:color w:val="000000"/>
          <w:sz w:val="22"/>
        </w:rPr>
        <w:t>“a”</w:t>
      </w:r>
      <w:r>
        <w:rPr>
          <w:rFonts w:ascii="Times New Roman" w:hAnsi="Times New Roman"/>
          <w:b w:val="false"/>
          <w:i w:val="false"/>
          <w:color w:val="000000"/>
          <w:sz w:val="22"/>
        </w:rPr>
        <w:t>(7) and 22.1(4)</w:t>
      </w:r>
      <w:r>
        <w:rPr>
          <w:rFonts w:ascii="Times New Roman" w:hAnsi="Times New Roman"/>
          <w:b w:val="false"/>
          <w:i/>
          <w:color w:val="000000"/>
          <w:sz w:val="22"/>
        </w:rPr>
        <w:t>“a”</w:t>
      </w:r>
      <w:r>
        <w:rPr>
          <w:rFonts w:ascii="Times New Roman" w:hAnsi="Times New Roman"/>
          <w:b w:val="false"/>
          <w:i w:val="false"/>
          <w:color w:val="000000"/>
          <w:sz w:val="22"/>
        </w:rPr>
        <w:t>(4) [ARC 2793C, Item 2] delayed until the adjournment of the 2017 General Assembly by the Administrative Rules Review Committee at its meeting held December 13, 2016.</w:t>
      </w:r>
    </w:p>
    <w:p>
      <w:pPr>
        <w:pBdr>
          <w:bottom w:space="2"/>
        </w:pBdr>
        <w:spacing w:before="0" w:after="0"/>
        <w:ind w:left="120"/>
        <w:jc w:val="both"/>
      </w:pPr>
      <w:r>
        <w:rPr>
          <w:rFonts w:ascii="Times New Roman" w:hAnsi="Times New Roman"/>
          <w:b w:val="false"/>
          <w:i w:val="false"/>
          <w:color w:val="000000"/>
          <w:sz w:val="22"/>
        </w:rPr>
        <w:t>January 6, 2021, effective date of 22.2 [ARC 5303C, Item 2] delayed until the adjournment of the 2021 session of the General Assembly by the Administrative Rules Review Committee at its meeting held December 8, 2020.</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boee.iowa.gov" Type="http://schemas.openxmlformats.org/officeDocument/2006/relationships/hyperlink" Id="rId4"/>
    <Relationship TargetMode="External" Target="https://www.legis.iowa.gov/docs/iac/rule/282.13.1.pdf" Type="http://schemas.openxmlformats.org/officeDocument/2006/relationships/hyperlink" Id="rId5"/>
    <Relationship TargetMode="External" Target="https://www.legis.iowa.gov/docs/iac/rule/282.22.1.pdf" Type="http://schemas.openxmlformats.org/officeDocument/2006/relationships/hyperlink" Id="rId6"/>
    <Relationship TargetMode="External" Target="https://www.legis.iowa.gov/docs/iac/rule/282.22.1.pdf" Type="http://schemas.openxmlformats.org/officeDocument/2006/relationships/hyperlink" Id="rId7"/>
    <Relationship TargetMode="External" Target="https://www.legis.iowa.gov/docs/iac/chapter/282.12.pdf" Type="http://schemas.openxmlformats.org/officeDocument/2006/relationships/hyperlink" Id="rId8"/>
    <Relationship TargetMode="External" Target="http://www.boee.iowa.gov" Type="http://schemas.openxmlformats.org/officeDocument/2006/relationships/hyperlink" Id="rId9"/>
    <Relationship TargetMode="External" Target="http://www.boee.iowa.gov" Type="http://schemas.openxmlformats.org/officeDocument/2006/relationships/hyperlink" Id="rId10"/>
    <Relationship TargetMode="External" Target="https://www.legis.iowa.gov/docs/iac/rule/282.13.1.pdf" Type="http://schemas.openxmlformats.org/officeDocument/2006/relationships/hyperlink" Id="rId11"/>
    <Relationship TargetMode="External" Target="https://www.legis.iowa.gov/docs/iac/rule/282.20.3.pdf" Type="http://schemas.openxmlformats.org/officeDocument/2006/relationships/hyperlink" Id="rId12"/>
    <Relationship TargetMode="External" Target="http://www.boee.iowa.gov/" Type="http://schemas.openxmlformats.org/officeDocument/2006/relationships/hyperlink" Id="rId13"/>
    <Relationship TargetMode="External" Target="https://www.legis.iowa.gov/docs/iac/rule/282.13.1.pdf" Type="http://schemas.openxmlformats.org/officeDocument/2006/relationships/hyperlink" Id="rId14"/>
    <Relationship TargetMode="External" Target="https://www.legis.iowa.gov/docs/iac/rule/282.22.3.pdf" Type="http://schemas.openxmlformats.org/officeDocument/2006/relationships/hyperlink" Id="rId15"/>
    <Relationship TargetMode="External" Target="https://www.legis.iowa.gov/docs/iac/rule/282.22.3.pdf" Type="http://schemas.openxmlformats.org/officeDocument/2006/relationships/hyperlink" Id="rId16"/>
    <Relationship TargetMode="External" Target="https://www.legis.iowa.gov/docs/iac/chapter/281.81.pdf" Type="http://schemas.openxmlformats.org/officeDocument/2006/relationships/hyperlink" Id="rId17"/>
    <Relationship TargetMode="External" Target="https://www.legis.iowa.gov/docs/iac/chapter/282.12.pdf" Type="http://schemas.openxmlformats.org/officeDocument/2006/relationships/hyperlink" Id="rId18"/>
    <Relationship TargetMode="External" Target="http://www.boee.iowa.gov" Type="http://schemas.openxmlformats.org/officeDocument/2006/relationships/hyperlink" Id="rId19"/>
    <Relationship TargetMode="External" Target="https://www.legis.iowa.gov/docs/iac/rule/282.13.1.pdf" Type="http://schemas.openxmlformats.org/officeDocument/2006/relationships/hyperlink" Id="rId20"/>
    <Relationship TargetMode="External" Target="https://www.legis.iowa.gov/docs/iac/rule/282.22.5.pdf" Type="http://schemas.openxmlformats.org/officeDocument/2006/relationships/hyperlink" Id="rId21"/>
    <Relationship TargetMode="External" Target="http://www.boee.iowa.gov" Type="http://schemas.openxmlformats.org/officeDocument/2006/relationships/hyperlink" Id="rId22"/>
    <Relationship TargetMode="External" Target="https://www.legis.iowa.gov/docs/iac/rule/282.20.3.pdf" Type="http://schemas.openxmlformats.org/officeDocument/2006/relationships/hyperlink" Id="rId23"/>
    <Relationship TargetMode="External" Target="https://www.legis.iowa.gov/docs/iac/rule/282.20.5.pdf" Type="http://schemas.openxmlformats.org/officeDocument/2006/relationships/hyperlink" Id="rId24"/>
    <Relationship TargetMode="External" Target="http://www.boee.iowa.gov" Type="http://schemas.openxmlformats.org/officeDocument/2006/relationships/hyperlink" Id="rId25"/>
    <Relationship TargetMode="External" Target="https://www.legis.iowa.gov/docs/iac/rule/282.13.1.pdf" Type="http://schemas.openxmlformats.org/officeDocument/2006/relationships/hyperlink" Id="rId26"/>
    <Relationship TargetMode="External" Target="https://www.legis.iowa.gov/docs/iac/rule/281.82.7.pdf" Type="http://schemas.openxmlformats.org/officeDocument/2006/relationships/hyperlink" Id="rId27"/>
    <Relationship TargetMode="External" Target="http://www.boee.iowa.gov" Type="http://schemas.openxmlformats.org/officeDocument/2006/relationships/hyperlink" Id="rId28"/>
    <Relationship TargetMode="External" Target="https://www.legis.iowa.gov/docs/iac/rule/282.13.1.pdf" Type="http://schemas.openxmlformats.org/officeDocument/2006/relationships/hyperlink" Id="rId29"/>
    <Relationship TargetMode="External" Target="https://www.legis.iowa.gov/docs/iac/rule/282.20.3.pdf" Type="http://schemas.openxmlformats.org/officeDocument/2006/relationships/hyperlink" Id="rId30"/>
    <Relationship TargetMode="External" Target="http://www.boee.iowa.gov" Type="http://schemas.openxmlformats.org/officeDocument/2006/relationships/hyperlink" Id="rId31"/>
    <Relationship TargetMode="External" Target="https://www.legis.iowa.gov/docs/iac/rule/282.13.1.pdf" Type="http://schemas.openxmlformats.org/officeDocument/2006/relationships/hyperlink" Id="rId32"/>
    <Relationship TargetMode="External" Target="https://www.legis.iowa.gov/docs/iac/rule/282.22.9.pdf" Type="http://schemas.openxmlformats.org/officeDocument/2006/relationships/hyperlink" Id="rId33"/>
    <Relationship TargetMode="External" Target="https://www.legis.iowa.gov/docs/iac/rule/282.22.9.pdf" Type="http://schemas.openxmlformats.org/officeDocument/2006/relationships/hyperlink" Id="rId34"/>
    <Relationship TargetMode="External" Target="https://www.legis.iowa.gov/docs/iac/rule/282.20.5.pdf" Type="http://schemas.openxmlformats.org/officeDocument/2006/relationships/hyperlink" Id="rId35"/>
    <Relationship TargetMode="External" Target="https://www.legis.iowa.gov/docs/iac/rule/282.20.5.pdf" Type="http://schemas.openxmlformats.org/officeDocument/2006/relationships/hyperlink" Id="rId36"/>
    <Relationship TargetMode="External" Target="http://www.boee.iowa.gov" Type="http://schemas.openxmlformats.org/officeDocument/2006/relationships/hyperlink" Id="rId37"/>
    <Relationship TargetMode="External" Target="https://www.legis.iowa.gov/docs/iac/rule/282.13.1.pdf" Type="http://schemas.openxmlformats.org/officeDocument/2006/relationships/hyperlink" Id="rId38"/>
    <Relationship TargetMode="External" Target="https://www.legis.iowa.gov/docs/iac/rule/282.20.3.pdf" Type="http://schemas.openxmlformats.org/officeDocument/2006/relationships/hyperlink" Id="rId39"/>
    <Relationship TargetMode="External" Target="https://www.legis.iowa.gov/docs/ico/chapter/272.pdf" Type="http://schemas.openxmlformats.org/officeDocument/2006/relationships/hyperlink" Id="rId40"/>
    <Relationship TargetMode="External" Target="https://www.legis.iowa.gov/docs/ico/chapter/256B.pdf" Type="http://schemas.openxmlformats.org/officeDocument/2006/relationships/hyperlink" Id="rId41"/>
    <Relationship TargetMode="External" Target="https://www.legis.iowa.gov/docs/iac/rule/282.13.1.pdf" Type="http://schemas.openxmlformats.org/officeDocument/2006/relationships/hyperlink" Id="rId42"/>
    <Relationship TargetMode="External" Target="https://www.legis.iowa.gov/docs/iac/rule/282.20.3.pdf" Type="http://schemas.openxmlformats.org/officeDocument/2006/relationships/hyperlink" Id="rId43"/>
    <Relationship TargetMode="External" Target="https://www.legis.iowa.gov/docs/iac/rule/282.20.5.pdf" Type="http://schemas.openxmlformats.org/officeDocument/2006/relationships/hyperlink" Id="rId44"/>
    <Relationship TargetMode="External" Target="http://www.boee.iowa.gov" Type="http://schemas.openxmlformats.org/officeDocument/2006/relationships/hyperlink" Id="rId45"/>
    <Relationship TargetMode="External" Target="https://www.legis.iowa.gov/docs/iac/rule/282.13.1.pdf" Type="http://schemas.openxmlformats.org/officeDocument/2006/relationships/hyperlink" Id="rId46"/>
    <Relationship TargetMode="External" Target="https://www.legis.iowa.gov/docs/iac/rule/282.20.3.pdf" Type="http://schemas.openxmlformats.org/officeDocument/2006/relationships/hyperlink" Id="rId47"/>
    <Relationship TargetMode="External" Target="https://www.legis.iowa.gov/docs/iac/rule/282.20.3.pdf" Type="http://schemas.openxmlformats.org/officeDocument/2006/relationships/hyperlink" Id="rId48"/>
    <Relationship TargetMode="External" Target="http://www.boee.iowa.gov" Type="http://schemas.openxmlformats.org/officeDocument/2006/relationships/hyperlink" Id="rId49"/>
    <Relationship TargetMode="External" Target="https://www.legis.iowa.gov/docs/iac/rule/282.13.1.pdf" Type="http://schemas.openxmlformats.org/officeDocument/2006/relationships/hyperlink" Id="rId50"/>
    <Relationship TargetMode="External" Target="https://www.legis.iowa.gov/docs/iac/rule/282.20.3.pdf" Type="http://schemas.openxmlformats.org/officeDocument/2006/relationships/hyperlink" Id="rId51"/>
    <Relationship TargetMode="External" Target="https://www.legis.iowa.gov/docs/iac/rule/282.20.3.pdf" Type="http://schemas.openxmlformats.org/officeDocument/2006/relationships/hyperlink" Id="rId52"/>
    <Relationship TargetMode="External" Target="www.boee.iowa.gov" Type="http://schemas.openxmlformats.org/officeDocument/2006/relationships/hyperlink" Id="rId53"/>
    <Relationship TargetMode="External" Target="https://www.legis.iowa.gov/docs/iac/rule/282.13.1.pdf" Type="http://schemas.openxmlformats.org/officeDocument/2006/relationships/hyperlink" Id="rId54"/>
    <Relationship TargetMode="External" Target="https://www.legis.iowa.gov/docs/iac/rule/282.22.15.pdf" Type="http://schemas.openxmlformats.org/officeDocument/2006/relationships/hyperlink" Id="rId55"/>
    <Relationship TargetMode="External" Target="https://www.legis.iowa.gov/docs/iac/rule/282.20.5.pdf" Type="http://schemas.openxmlformats.org/officeDocument/2006/relationships/hyperlink" Id="rId56"/>
    <Relationship TargetMode="External" Target="https://www.legis.iowa.gov/docs/iac/rule/282.20.5.pdf" Type="http://schemas.openxmlformats.org/officeDocument/2006/relationships/hyperlink" Id="rId57"/>
    <Relationship TargetMode="External" Target="https://www.legis.iowa.gov/docs/ico/chapter/272.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