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w:t>
      </w:r>
    </w:p>
    <w:p>
      <w:pPr>
        <w:spacing w:before="0" w:after="0"/>
        <w:ind w:left="120"/>
        <w:jc w:val="center"/>
      </w:pPr>
      <w:r>
        <w:rPr>
          <w:rFonts w:ascii="Times New Roman" w:hAnsi="Times New Roman"/>
          <w:b w:val="false"/>
          <w:i w:val="false"/>
          <w:color w:val="000000"/>
          <w:sz w:val="21"/>
        </w:rPr>
        <w:t>TARGETED SMALL BUSINESS FINANCIAL ASSISTANCE PROGRAM</w:t>
      </w:r>
    </w:p>
    <w:p>
      <w:pPr>
        <w:spacing w:before="0" w:after="0"/>
        <w:ind w:left="120"/>
        <w:jc w:val="center"/>
      </w:pPr>
      <w:r>
        <w:rPr>
          <w:rFonts w:ascii="Times New Roman" w:hAnsi="Times New Roman"/>
          <w:b w:val="false"/>
          <w:i w:val="false"/>
          <w:color w:val="000000"/>
          <w:sz w:val="14"/>
        </w:rPr>
        <w:t>[Prior to 7/19/95, see 261—Ch 27]</w:t>
      </w:r>
    </w:p>
    <w:p>
      <w:pPr>
        <w:spacing w:before="0" w:after="0"/>
        <w:ind w:left="120"/>
        <w:jc w:val="both"/>
      </w:pPr>
      <w:r>
        <w:rPr>
          <w:rFonts w:ascii="Times New Roman" w:hAnsi="Times New Roman"/>
          <w:b/>
          <w:i w:val="false"/>
          <w:color w:val="000000"/>
          <w:sz w:val="22"/>
        </w:rPr>
        <w:t>261—55.1</w:t>
      </w:r>
      <w:r>
        <w:rPr>
          <w:rFonts w:ascii="Times New Roman" w:hAnsi="Times New Roman"/>
          <w:b/>
          <w:i w:val="false"/>
          <w:color w:val="000000"/>
          <w:sz w:val="22"/>
        </w:rPr>
        <w:t xml:space="preserve">(15) </w:t>
      </w:r>
      <w:r>
        <w:rPr>
          <w:rFonts w:ascii="Times New Roman" w:hAnsi="Times New Roman"/>
          <w:b/>
          <w:i w:val="false"/>
          <w:color w:val="000000"/>
          <w:sz w:val="22"/>
        </w:rPr>
        <w:t xml:space="preserve">Targeted small business financial assistance program. </w:t>
      </w:r>
      <w:r>
        <w:rPr>
          <w:rFonts w:ascii="Times New Roman" w:hAnsi="Times New Roman"/>
          <w:b w:val="false"/>
          <w:i w:val="false"/>
          <w:color w:val="000000"/>
          <w:sz w:val="22"/>
        </w:rPr>
        <w:t>The purpose of the program is to assist targeted group persons to establish or expand small business ventures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8260C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261—55.2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“Minority person”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“Place of abode” </w:t>
      </w:r>
      <w:r>
        <w:rPr>
          <w:rFonts w:ascii="Times New Roman" w:hAnsi="Times New Roman"/>
          <w:b w:val="false"/>
          <w:i w:val="false"/>
          <w:color w:val="000000"/>
          <w:sz w:val="22"/>
        </w:rPr>
        <w:t>means a place of stay, permanent or for some time, for which consideration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targeted small business financial assistance program established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 committee” </w:t>
      </w:r>
      <w:r>
        <w:rPr>
          <w:rFonts w:ascii="Times New Roman" w:hAnsi="Times New Roman"/>
          <w:b w:val="false"/>
          <w:i w:val="false"/>
          <w:color w:val="000000"/>
          <w:sz w:val="22"/>
        </w:rPr>
        <w:t xml:space="preserve">means a committee established by the authority to review program applications pursuant to subrule </w:t>
      </w:r>
      <w:hyperlink r:id="rId7">
        <w:r>
          <w:rPr>
            <w:rStyle w:val="Hyperlink"/>
            <w:rFonts w:ascii="Times New Roman" w:hAnsi="Times New Roman"/>
            <w:b w:val="false"/>
            <w:i w:val="false"/>
            <w:color w:val="000000"/>
            <w:sz w:val="22"/>
          </w:rPr>
          <w:t>55.3(8)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“Service-disabled veteran” </w:t>
      </w:r>
      <w:r>
        <w:rPr>
          <w:rFonts w:ascii="Times New Roman" w:hAnsi="Times New Roman"/>
          <w:b w:val="false"/>
          <w:i w:val="false"/>
          <w:color w:val="000000"/>
          <w:sz w:val="22"/>
        </w:rPr>
        <w:t>means a veteran who provides written verification from the U.S. Department of Veterans Affairs or the U.S. Department of Defense of a disability that was incurred or aggravated in the line of duty in active military, naval, air, or space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group person” </w:t>
      </w:r>
      <w:r>
        <w:rPr>
          <w:rFonts w:ascii="Times New Roman" w:hAnsi="Times New Roman"/>
          <w:b w:val="false"/>
          <w:i w:val="false"/>
          <w:color w:val="000000"/>
          <w:sz w:val="22"/>
        </w:rPr>
        <w:t xml:space="preserve">means a minority person, woman, person with a disability, or service-disabled veteran who is either an Iowa resident or a resident of a contiguous state who lives within 50 miles of the targeted small business the person owns, operates, and actively manages.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“TSB”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“Woman” </w:t>
      </w:r>
      <w:r>
        <w:rPr>
          <w:rFonts w:ascii="Times New Roman" w:hAnsi="Times New Roman"/>
          <w:b w:val="false"/>
          <w:i w:val="false"/>
          <w:color w:val="000000"/>
          <w:sz w:val="22"/>
        </w:rPr>
        <w:t>means any female 18 years of age or 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8260C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261—55.3</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r>
        <w:rPr>
          <w:rFonts w:ascii="Times New Roman" w:hAnsi="Times New Roman"/>
          <w:b w:val="false"/>
          <w:i w:val="false"/>
          <w:color w:val="000000"/>
          <w:sz w:val="22"/>
        </w:rPr>
        <w:t>Application materials may be obtained from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w:t>
      </w:r>
      <w:r>
        <w:rPr>
          <w:rFonts w:ascii="Times New Roman" w:hAnsi="Times New Roman"/>
          <w:b w:val="false"/>
          <w:i w:val="false"/>
          <w:color w:val="000000"/>
          <w:sz w:val="22"/>
        </w:rPr>
        <w:t> </w:t>
      </w:r>
      <w:r>
        <w:rPr>
          <w:rFonts w:ascii="Times New Roman" w:hAnsi="Times New Roman"/>
          <w:b w:val="false"/>
          <w:i/>
          <w:color w:val="000000"/>
          <w:sz w:val="22"/>
        </w:rPr>
        <w:t xml:space="preserve">Maximum funding. </w:t>
      </w:r>
      <w:r>
        <w:rPr>
          <w:rFonts w:ascii="Times New Roman" w:hAnsi="Times New Roman"/>
          <w:b w:val="false"/>
          <w:i w:val="false"/>
          <w:color w:val="000000"/>
          <w:sz w:val="22"/>
        </w:rPr>
        <w:t>The maximum loan amount is $50,000. The interest rate charged shall not exceed 5 percent per annum or be less than 0 percent per annum. A targeted small business shall not receive a loan under the program that provides more than 90 percent of the funding for a project. All applicants must invest at least 10 percent of the total project budget in cash.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55.3(3)</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The term of a loan shall not exceed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w:t>
      </w:r>
      <w:r>
        <w:rPr>
          <w:rFonts w:ascii="Times New Roman" w:hAnsi="Times New Roman"/>
          <w:b w:val="false"/>
          <w:i w:val="false"/>
          <w:color w:val="000000"/>
          <w:sz w:val="22"/>
        </w:rPr>
        <w:t> </w:t>
      </w:r>
      <w:r>
        <w:rPr>
          <w:rFonts w:ascii="Times New Roman" w:hAnsi="Times New Roman"/>
          <w:b w:val="false"/>
          <w:i/>
          <w:color w:val="000000"/>
          <w:sz w:val="22"/>
        </w:rPr>
        <w:t xml:space="preserve">Eligible uses of funds. </w:t>
      </w:r>
      <w:r>
        <w:rPr>
          <w:rFonts w:ascii="Times New Roman" w:hAnsi="Times New Roman"/>
          <w:b w:val="false"/>
          <w:i w:val="false"/>
          <w:color w:val="000000"/>
          <w:sz w:val="22"/>
        </w:rPr>
        <w:t>Program funds shall be used for legitimate business expenses, including but not limited to purchase of equipment and furnishings, inventory, purchase of and improvements to land and buildings and specific operating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55.3(5)</w:t>
      </w:r>
      <w:r>
        <w:rPr>
          <w:rFonts w:ascii="Times New Roman" w:hAnsi="Times New Roman"/>
          <w:b w:val="false"/>
          <w:i w:val="false"/>
          <w:color w:val="000000"/>
          <w:sz w:val="22"/>
        </w:rPr>
        <w:t> </w:t>
      </w:r>
      <w:r>
        <w:rPr>
          <w:rFonts w:ascii="Times New Roman" w:hAnsi="Times New Roman"/>
          <w:b w:val="false"/>
          <w:i/>
          <w:color w:val="000000"/>
          <w:sz w:val="22"/>
        </w:rPr>
        <w:t xml:space="preserve">Ineligible uses of funds. </w:t>
      </w:r>
      <w:r>
        <w:rPr>
          <w:rFonts w:ascii="Times New Roman" w:hAnsi="Times New Roman"/>
          <w:b w:val="false"/>
          <w:i w:val="false"/>
          <w:color w:val="000000"/>
          <w:sz w:val="22"/>
        </w:rPr>
        <w:t>Program funds shall not be used to refinance existing debt. For the purposes of this subrule, existing debt does not include interim financing for allowable program purposes intended as a bridge loan obtained after the date a program loan is approved. Program funds shall not be used to facilitate financing of a project that would consist solely of relocation of an existing business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w:t>
      </w:r>
      <w:r>
        <w:rPr>
          <w:rFonts w:ascii="Times New Roman" w:hAnsi="Times New Roman"/>
          <w:b w:val="false"/>
          <w:i w:val="false"/>
          <w:color w:val="000000"/>
          <w:sz w:val="22"/>
        </w:rPr>
        <w:t> </w:t>
      </w:r>
      <w:r>
        <w:rPr>
          <w:rFonts w:ascii="Times New Roman" w:hAnsi="Times New Roman"/>
          <w:b w:val="false"/>
          <w:i/>
          <w:color w:val="000000"/>
          <w:sz w:val="22"/>
        </w:rPr>
        <w:t xml:space="preserve">Threshold criteria. </w:t>
      </w:r>
      <w:r>
        <w:rPr>
          <w:rFonts w:ascii="Times New Roman" w:hAnsi="Times New Roman"/>
          <w:b w:val="false"/>
          <w:i w:val="false"/>
          <w:color w:val="000000"/>
          <w:sz w:val="22"/>
        </w:rPr>
        <w:t>Applicants for funds under the program must meet the following minimum criteria before their applications will be considered complete and eligible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must be eligible for certification as a targeted small business pursuant to </w:t>
      </w:r>
      <w:hyperlink r:id="rId9">
        <w:r>
          <w:rPr>
            <w:rStyle w:val="Hyperlink"/>
            <w:rFonts w:ascii="Times New Roman" w:hAnsi="Times New Roman"/>
            <w:b w:val="false"/>
            <w:i w:val="false"/>
            <w:color w:val="000000"/>
            <w:sz w:val="22"/>
          </w:rPr>
          <w:t>261—Chapter 52</w:t>
        </w:r>
      </w:hyperlink>
      <w:r>
        <w:rPr>
          <w:rFonts w:ascii="Times New Roman" w:hAnsi="Times New Roman"/>
          <w:b w:val="false"/>
          <w:i w:val="false"/>
          <w:color w:val="000000"/>
          <w:sz w:val="22"/>
        </w:rPr>
        <w:t xml:space="preserve"> at the time of application. The authority will educate applicants about the benefits of such certification and encourage applicants to seek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must be a resident of Iowa for at least six months to be eligible to apply for assistance. Applicants may be asked to provide necessary documentation to prove legal residency. An applicant who has not established a permanent place of abode in Iowa or who has not abandoned a permanent place of abode in another state shall be presumed to not be a resident of Iowa. A place of abode that is leased or rented shall be deemed permanent if leased or rented for a period of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applicants shall make a report regarding violations of law and address generation of solid or hazardous waste consistent with the requirements of Iowa Code section </w:t>
      </w:r>
      <w:hyperlink r:id="rId10">
        <w:r>
          <w:rPr>
            <w:rStyle w:val="Hyperlink"/>
            <w:rFonts w:ascii="Times New Roman" w:hAnsi="Times New Roman"/>
            <w:b w:val="false"/>
            <w:i w:val="false"/>
            <w:color w:val="000000"/>
            <w:sz w:val="22"/>
          </w:rPr>
          <w:t>15A.1(3)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55.3(7)</w:t>
      </w:r>
      <w:r>
        <w:rPr>
          <w:rFonts w:ascii="Times New Roman" w:hAnsi="Times New Roman"/>
          <w:b w:val="false"/>
          <w:i w:val="false"/>
          <w:color w:val="000000"/>
          <w:sz w:val="22"/>
        </w:rPr>
        <w:t> </w:t>
      </w:r>
      <w:r>
        <w:rPr>
          <w:rFonts w:ascii="Times New Roman" w:hAnsi="Times New Roman"/>
          <w:b w:val="false"/>
          <w:i/>
          <w:color w:val="000000"/>
          <w:sz w:val="22"/>
        </w:rPr>
        <w:t xml:space="preserve">Submittal. </w:t>
      </w:r>
      <w:r>
        <w:rPr>
          <w:rFonts w:ascii="Times New Roman" w:hAnsi="Times New Roman"/>
          <w:b w:val="false"/>
          <w:i w:val="false"/>
          <w:color w:val="000000"/>
          <w:sz w:val="22"/>
        </w:rPr>
        <w:t>Applicants shall submit an application to the authority in the form and content prescribed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55.3(8)</w:t>
      </w:r>
      <w:r>
        <w:rPr>
          <w:rFonts w:ascii="Times New Roman" w:hAnsi="Times New Roman"/>
          <w:b w:val="false"/>
          <w:i w:val="false"/>
          <w:color w:val="000000"/>
          <w:sz w:val="22"/>
        </w:rPr>
        <w:t> </w:t>
      </w:r>
      <w:r>
        <w:rPr>
          <w:rFonts w:ascii="Times New Roman" w:hAnsi="Times New Roman"/>
          <w:b w:val="false"/>
          <w:i/>
          <w:color w:val="000000"/>
          <w:sz w:val="22"/>
        </w:rPr>
        <w:t xml:space="preserve">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are reviewed for completeness. If additional information is required, the authority will notify the applicant. If the requested information is not provided by the deadline indicated in the notice, the application may be considered incomplete or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will establish a committee of at least three individuals to review all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55.3(9)</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Applications are evaluated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 credit score and outstanding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Source(s) of the applicant’s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Debt service coverage ratio.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55.3(10)</w:t>
      </w:r>
      <w:r>
        <w:rPr>
          <w:rFonts w:ascii="Times New Roman" w:hAnsi="Times New Roman"/>
          <w:b w:val="false"/>
          <w:i w:val="false"/>
          <w:color w:val="000000"/>
          <w:sz w:val="22"/>
        </w:rPr>
        <w:t> </w:t>
      </w:r>
      <w:r>
        <w:rPr>
          <w:rFonts w:ascii="Times New Roman" w:hAnsi="Times New Roman"/>
          <w:b w:val="false"/>
          <w:i/>
          <w:color w:val="000000"/>
          <w:sz w:val="22"/>
        </w:rPr>
        <w:t xml:space="preserve">Negotiations.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reserves the right to negotiate the amount, term, interest rate, and other conditions of the loan prior to or after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may decline to award funds to a business if there is a negative credit report (e.g., bankruptcy, foreclosure, tax liens, or unpaid or past due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55.3(11)</w:t>
      </w:r>
      <w:r>
        <w:rPr>
          <w:rFonts w:ascii="Times New Roman" w:hAnsi="Times New Roman"/>
          <w:b w:val="false"/>
          <w:i w:val="false"/>
          <w:color w:val="000000"/>
          <w:sz w:val="22"/>
        </w:rPr>
        <w:t> </w:t>
      </w:r>
      <w:r>
        <w:rPr>
          <w:rFonts w:ascii="Times New Roman" w:hAnsi="Times New Roman"/>
          <w:b w:val="false"/>
          <w:i/>
          <w:color w:val="000000"/>
          <w:sz w:val="22"/>
        </w:rPr>
        <w:t xml:space="preserve">Award decision. </w:t>
      </w:r>
      <w:r>
        <w:rPr>
          <w:rFonts w:ascii="Times New Roman" w:hAnsi="Times New Roman"/>
          <w:b w:val="false"/>
          <w:i w:val="false"/>
          <w:color w:val="000000"/>
          <w:sz w:val="22"/>
        </w:rPr>
        <w:t>If an application is approved by the review committee, the applicant business will receive an award letter that states the amount of the award, conditions of the award, any required security agreements, and the amount of monthly loan repayments. If an application is denied by the review committee, the applicant will receive a denial letter stating the reasons for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w:t>
      </w:r>
      <w:r>
        <w:rPr>
          <w:rFonts w:ascii="Times New Roman" w:hAnsi="Times New Roman"/>
          <w:b w:val="false"/>
          <w:i w:val="false"/>
          <w:color w:val="000000"/>
          <w:sz w:val="22"/>
        </w:rPr>
        <w:t> </w:t>
      </w:r>
      <w:r>
        <w:rPr>
          <w:rFonts w:ascii="Times New Roman" w:hAnsi="Times New Roman"/>
          <w:b w:val="false"/>
          <w:i/>
          <w:color w:val="000000"/>
          <w:sz w:val="22"/>
        </w:rPr>
        <w:t xml:space="preserve">Reapplication. </w:t>
      </w:r>
      <w:r>
        <w:rPr>
          <w:rFonts w:ascii="Times New Roman" w:hAnsi="Times New Roman"/>
          <w:b w:val="false"/>
          <w:i w:val="false"/>
          <w:color w:val="000000"/>
          <w:sz w:val="22"/>
        </w:rPr>
        <w:t>An applicant whose application is denied by the review committee cannot resubmit an application for the program for 90 days from the date of the denial letter.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8260C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261—55.4</w:t>
      </w:r>
      <w:r>
        <w:rPr>
          <w:rFonts w:ascii="Times New Roman" w:hAnsi="Times New Roman"/>
          <w:b/>
          <w:i w:val="false"/>
          <w:color w:val="000000"/>
          <w:sz w:val="22"/>
        </w:rPr>
        <w:t xml:space="preserve">(15) </w:t>
      </w:r>
      <w:r>
        <w:rPr>
          <w:rFonts w:ascii="Times New Roman" w:hAnsi="Times New Roman"/>
          <w:b/>
          <w:i w:val="false"/>
          <w:color w:val="000000"/>
          <w:sz w:val="22"/>
        </w:rPr>
        <w:t xml:space="preserve">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monitor the recipient’s records to ensure compliance with the terms of the award. The authority may request information on the condition of the business at any time during the life of the loan to determine the status of the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w:t>
      </w:r>
      <w:r>
        <w:rPr>
          <w:rFonts w:ascii="Times New Roman" w:hAnsi="Times New Roman"/>
          <w:b w:val="false"/>
          <w:i w:val="false"/>
          <w:color w:val="000000"/>
          <w:sz w:val="22"/>
        </w:rPr>
        <w:t> </w:t>
      </w:r>
      <w:r>
        <w:rPr>
          <w:rFonts w:ascii="Times New Roman" w:hAnsi="Times New Roman"/>
          <w:b w:val="false"/>
          <w:i w:val="false"/>
          <w:color w:val="000000"/>
          <w:sz w:val="22"/>
        </w:rPr>
        <w:t>The authority may require a program recipient to consult with designated small business service providers for assistance with various aspects of the management and operation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w:t>
      </w:r>
      <w:r>
        <w:rPr>
          <w:rFonts w:ascii="Times New Roman" w:hAnsi="Times New Roman"/>
          <w:b w:val="false"/>
          <w:i w:val="false"/>
          <w:color w:val="000000"/>
          <w:sz w:val="22"/>
        </w:rPr>
        <w:t> </w:t>
      </w:r>
      <w:r>
        <w:rPr>
          <w:rFonts w:ascii="Times New Roman" w:hAnsi="Times New Roman"/>
          <w:b w:val="false"/>
          <w:i w:val="false"/>
          <w:color w:val="000000"/>
          <w:sz w:val="22"/>
        </w:rPr>
        <w:t>If the authority determines that a borrower is in default, the authority may seek recovery of the loan plus interest or other penalties; negotiate alternative payment schedules; initiate, suspend or discontinue collection efforts; and take other action as the authority deems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8260C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261—55.5</w:t>
      </w:r>
      <w:r>
        <w:rPr>
          <w:rFonts w:ascii="Times New Roman" w:hAnsi="Times New Roman"/>
          <w:b/>
          <w:i w:val="false"/>
          <w:color w:val="000000"/>
          <w:sz w:val="22"/>
        </w:rPr>
        <w:t xml:space="preserve">(15) </w:t>
      </w:r>
      <w:r>
        <w:rPr>
          <w:rFonts w:ascii="Times New Roman" w:hAnsi="Times New Roman"/>
          <w:b/>
          <w:i w:val="false"/>
          <w:color w:val="000000"/>
          <w:sz w:val="22"/>
        </w:rPr>
        <w:t xml:space="preserve">Disbursement of funds. </w:t>
      </w:r>
      <w:r>
        <w:rPr>
          <w:rFonts w:ascii="Times New Roman" w:hAnsi="Times New Roman"/>
          <w:b w:val="false"/>
          <w:i w:val="false"/>
          <w:color w:val="000000"/>
          <w:sz w:val="22"/>
        </w:rPr>
        <w:t>An approved applicant shall acknowledge and agree to the terms proposed by the authority prior to disbursement of funds. Requests for disbursement and loan documents shall be in the form and content specified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8260C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15.108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2013 Iowa Acts, House File 324</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9/11/87—published 10/7/87, effective 9/11/87]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12/24/87, Notice 10/7/87—published 1/13/88, effective 2/17/88]</w:t>
      </w:r>
    </w:p>
    <w:p>
      <w:pPr>
        <w:spacing w:before="0" w:after="0"/>
        <w:ind w:left="120"/>
        <w:jc w:val="center"/>
      </w:pPr>
      <w:r>
        <w:rPr>
          <w:rFonts w:ascii="Times New Roman" w:hAnsi="Times New Roman"/>
          <w:b w:val="false"/>
          <w:i w:val="false"/>
          <w:color w:val="000000"/>
          <w:sz w:val="21"/>
        </w:rPr>
        <w:t>[Filed emergency 11/23/88—published 12/14/88, effective 11/23/88]</w:t>
      </w:r>
    </w:p>
    <w:p>
      <w:pPr>
        <w:spacing w:before="0" w:after="0"/>
        <w:ind w:left="120"/>
        <w:jc w:val="center"/>
      </w:pPr>
      <w:r>
        <w:rPr>
          <w:rFonts w:ascii="Times New Roman" w:hAnsi="Times New Roman"/>
          <w:b w:val="false"/>
          <w:i w:val="false"/>
          <w:color w:val="000000"/>
          <w:sz w:val="21"/>
        </w:rPr>
        <w:t>[Filed 12/22/89, Notice 11/15/89—published 1/10/90, effective 2/14/90]</w:t>
      </w:r>
    </w:p>
    <w:p>
      <w:pPr>
        <w:spacing w:before="0" w:after="0"/>
        <w:ind w:left="120"/>
        <w:jc w:val="center"/>
      </w:pPr>
      <w:r>
        <w:rPr>
          <w:rFonts w:ascii="Times New Roman" w:hAnsi="Times New Roman"/>
          <w:b w:val="false"/>
          <w:i w:val="false"/>
          <w:color w:val="000000"/>
          <w:sz w:val="21"/>
        </w:rPr>
        <w:t>[Filed emergency 6/21/91 after Notice 4/17/91—published 7/10/91, effective 6/21/91]</w:t>
      </w:r>
    </w:p>
    <w:p>
      <w:pPr>
        <w:spacing w:before="0" w:after="0"/>
        <w:ind w:left="120"/>
        <w:jc w:val="center"/>
      </w:pPr>
      <w:r>
        <w:rPr>
          <w:rFonts w:ascii="Times New Roman" w:hAnsi="Times New Roman"/>
          <w:b w:val="false"/>
          <w:i w:val="false"/>
          <w:color w:val="000000"/>
          <w:sz w:val="21"/>
        </w:rPr>
        <w:t>[Filed 6/17/93, Notice 2/17/93—published 7/7/93, effective 8/11/93]</w:t>
      </w:r>
    </w:p>
    <w:p>
      <w:pPr>
        <w:spacing w:before="0" w:after="0"/>
        <w:ind w:left="120"/>
        <w:jc w:val="center"/>
      </w:pPr>
      <w:r>
        <w:rPr>
          <w:rFonts w:ascii="Times New Roman" w:hAnsi="Times New Roman"/>
          <w:b w:val="false"/>
          <w:i w:val="false"/>
          <w:color w:val="000000"/>
          <w:sz w:val="21"/>
        </w:rPr>
        <w:t>[Filed 1/20/95, Notice 8/17/94—published 2/15/95, effective 3/22/95]</w:t>
      </w:r>
    </w:p>
    <w:p>
      <w:pPr>
        <w:spacing w:before="0" w:after="0"/>
        <w:ind w:left="120"/>
        <w:jc w:val="center"/>
      </w:pPr>
      <w:r>
        <w:rPr>
          <w:rFonts w:ascii="Times New Roman" w:hAnsi="Times New Roman"/>
          <w:b w:val="false"/>
          <w:i w:val="false"/>
          <w:color w:val="000000"/>
          <w:sz w:val="21"/>
        </w:rPr>
        <w:t>[Filed 6/26/95, Notice 5/10/95—published 7/19/95, effective 8/23/95]</w:t>
      </w:r>
    </w:p>
    <w:p>
      <w:pPr>
        <w:spacing w:before="0" w:after="0"/>
        <w:ind w:left="120"/>
        <w:jc w:val="center"/>
      </w:pPr>
      <w:r>
        <w:rPr>
          <w:rFonts w:ascii="Times New Roman" w:hAnsi="Times New Roman"/>
          <w:b w:val="false"/>
          <w:i w:val="false"/>
          <w:color w:val="000000"/>
          <w:sz w:val="21"/>
        </w:rPr>
        <w:t>[Filed 8/27/03, Notice 7/9/03—published 9/17/03, effective 10/22/03]</w:t>
      </w:r>
    </w:p>
    <w:p>
      <w:pPr>
        <w:spacing w:before="0" w:after="0"/>
        <w:ind w:left="120"/>
        <w:jc w:val="center"/>
      </w:pPr>
      <w:r>
        <w:rPr>
          <w:rFonts w:ascii="Times New Roman" w:hAnsi="Times New Roman"/>
          <w:b w:val="false"/>
          <w:i w:val="false"/>
          <w:color w:val="000000"/>
          <w:sz w:val="21"/>
        </w:rPr>
        <w:t>[Filed 9/20/07, Notice 8/15/07—published 10/10/07, effective 11/14/07]</w:t>
      </w:r>
    </w:p>
    <w:p>
      <w:pPr>
        <w:spacing w:before="0" w:after="0"/>
        <w:ind w:left="120"/>
        <w:jc w:val="center"/>
      </w:pPr>
      <w:r>
        <w:rPr>
          <w:rFonts w:ascii="Times New Roman" w:hAnsi="Times New Roman"/>
          <w:b w:val="false"/>
          <w:i w:val="false"/>
          <w:color w:val="000000"/>
          <w:sz w:val="21"/>
        </w:rPr>
        <w:t>[Filed ARC 5907C</w:t>
      </w:r>
      <w:r>
        <w:rPr>
          <w:rFonts w:ascii="Times New Roman" w:hAnsi="Times New Roman"/>
          <w:b w:val="false"/>
          <w:i w:val="false"/>
          <w:color w:val="000000"/>
          <w:sz w:val="21"/>
        </w:rPr>
        <w:t xml:space="preserve"> (Notice ARC 5622C, IAB 5/19/21)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8260C</w:t>
      </w:r>
      <w:r>
        <w:rPr>
          <w:rFonts w:ascii="Times New Roman" w:hAnsi="Times New Roman"/>
          <w:b w:val="false"/>
          <w:i w:val="false"/>
          <w:color w:val="000000"/>
          <w:sz w:val="21"/>
        </w:rPr>
        <w:t xml:space="preserve"> (Notice ARC 8143C, IAB 7/24/24)</w:t>
      </w:r>
      <w:r>
        <w:rPr>
          <w:rFonts w:ascii="Times New Roman" w:hAnsi="Times New Roman"/>
          <w:b w:val="false"/>
          <w:i w:val="false"/>
          <w:color w:val="000000"/>
          <w:sz w:val="21"/>
        </w:rPr>
        <w:t>, IAB 10/16/24, effective 11/20/24]</w:t>
      </w:r>
    </w:p>
    <w:p>
      <w:pPr>
        <w:pBdr>
          <w:bottom w:space="2"/>
        </w:pBdr>
        <w:spacing w:before="0" w:after="0"/>
        <w:ind w:left="120"/>
        <w:jc w:val="both"/>
      </w:pPr>
      <w:r>
        <w:rPr>
          <w:rFonts w:ascii="Times New Roman" w:hAnsi="Times New Roman"/>
          <w:b w:val="false"/>
          <w:i w:val="false"/>
          <w:color w:val="000000"/>
          <w:sz w:val="22"/>
        </w:rPr>
        <w:t>Prior to 10/7/87, see Iowa Finance Authority 524—Chapter 11</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pdf" Type="http://schemas.openxmlformats.org/officeDocument/2006/relationships/hyperlink" Id="rId4"/>
    <Relationship TargetMode="External" Target="https://www.legis.iowa.gov/docs/ico/chapter/15.pdf" Type="http://schemas.openxmlformats.org/officeDocument/2006/relationships/hyperlink" Id="rId5"/>
    <Relationship TargetMode="External" Target="https://www.legis.iowa.gov/docs/ico/chapter/15.pdf" Type="http://schemas.openxmlformats.org/officeDocument/2006/relationships/hyperlink" Id="rId6"/>
    <Relationship TargetMode="External" Target="https://www.legis.iowa.gov/docs/iac/rule/261.55.3.pdf" Type="http://schemas.openxmlformats.org/officeDocument/2006/relationships/hyperlink" Id="rId7"/>
    <Relationship TargetMode="External" Target="https://www.legis.iowa.gov/docs/ico/chapter/15.pdf" Type="http://schemas.openxmlformats.org/officeDocument/2006/relationships/hyperlink" Id="rId8"/>
    <Relationship TargetMode="External" Target="https://www.legis.iowa.gov/docs/iac/chapter/261.52.pdf" Type="http://schemas.openxmlformats.org/officeDocument/2006/relationships/hyperlink" Id="rId9"/>
    <Relationship TargetMode="External" Target="https://www.legis.iowa.gov/docs/ico/chapter/15A.pdf" Type="http://schemas.openxmlformats.org/officeDocument/2006/relationships/hyperlink" Id="rId10"/>
    <Relationship TargetMode="External" Target="https://www.legis.iowa.gov/docs/ico/chapter/1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