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CONTESTED CASES</w:t>
      </w:r>
    </w:p>
    <w:p>
      <w:pPr>
        <w:spacing w:before="0" w:after="0"/>
        <w:ind w:left="120"/>
        <w:jc w:val="center"/>
      </w:pPr>
      <w:r>
        <w:rPr>
          <w:rFonts w:ascii="Times New Roman" w:hAnsi="Times New Roman"/>
          <w:b w:val="false"/>
          <w:i w:val="false"/>
          <w:color w:val="000000"/>
          <w:sz w:val="14"/>
        </w:rPr>
        <w:t>[Prior to 5/15/24, see Veterinary Medicine Board[811] Ch 10]</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left"/>
      </w:pPr>
      <w:r>
        <w:rPr>
          <w:rFonts w:ascii="Times New Roman" w:hAnsi="Times New Roman"/>
          <w:b w:val="false"/>
          <w:i w:val="false"/>
          <w:color w:val="000000"/>
          <w:sz w:val="22"/>
        </w:rPr>
        <w:t xml:space="preserve">The board of veterinary medicine adopts, with the following exceptions and amendments, Uniform Rules on Agency Procedure relating to contested cases,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8011C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In lieu of “(agency name)” insert “board of veterinary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In lieu of “(agency name)” insert “board of veterinary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chairperson of the board or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will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r>
        <w:rPr>
          <w:rFonts w:ascii="Times New Roman" w:hAnsi="Times New Roman"/>
          <w:b w:val="false"/>
          <w:i w:val="false"/>
          <w:color w:val="000000"/>
          <w:sz w:val="22"/>
        </w:rPr>
        <w:t xml:space="preserve">The board will issue an order, notice of hearing, and statement of charges following its determination of probable cause pursuant to Iowa Code section </w:t>
      </w:r>
      <w:hyperlink r:id="rId7">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Delivery of the notice of hearing constitutes the commencement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color w:val="000000"/>
          <w:sz w:val="22"/>
        </w:rPr>
        <w:t xml:space="preserve">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of the hearing will be set by the board. The credential holder will be notified at least 30 days prior to the scheduled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will be in writing delivered either by personal service as in civil actions or by certified mail with return receipt requested. When the credential holder cannot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affidavit will be prepared outlining the measures taken to attempt service and will become a part of the record when a notice cannot be delivered by personal service or 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of hearing will be published once each week for three consecutive weeks in a newspaper of general circulation, published or circulated in the county of last-known residence of the credential holder. The newspaper will be selected by the secretary or designee. The first notice of hearing will be published at least 30 days prior to the scheduled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r>
        <w:rPr>
          <w:rFonts w:ascii="Times New Roman" w:hAnsi="Times New Roman"/>
          <w:b w:val="false"/>
          <w:i w:val="false"/>
          <w:color w:val="000000"/>
          <w:sz w:val="22"/>
        </w:rPr>
        <w:t xml:space="preserve">Disciplinary hearings will be conducted by the board pursuant to Iowa Code section </w:t>
      </w:r>
      <w:hyperlink r:id="rId8">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The chairperson of the board will designate the presiding officer in accordance with the provisions of Iowa Code section </w:t>
      </w:r>
      <w:hyperlink r:id="rId9">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val="false"/>
          <w:color w:val="000000"/>
          <w:sz w:val="22"/>
        </w:rPr>
        <w:t>For nondisciplinary proceedings, any party who wishes to request that the presiding officer assigned to render a proposed decision be an administrative law judge employed by the department of inspections, appeals, and licensing must file a written request within 20 days after service of a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val="false"/>
          <w:color w:val="000000"/>
          <w:sz w:val="22"/>
        </w:rPr>
        <w:t>In lieu of “agency (or its designee)” insert “executive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does not adopt X.6(2)</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 would not conform to the disciplinary hearing provision of Iowa Code section </w:t>
      </w:r>
      <w:hyperlink r:id="rId10">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16.6(3)</w:t>
      </w:r>
      <w:r>
        <w:rPr>
          <w:rFonts w:ascii="Times New Roman" w:hAnsi="Times New Roman"/>
          <w:b w:val="false"/>
          <w:i w:val="false"/>
          <w:color w:val="000000"/>
          <w:sz w:val="22"/>
        </w:rPr>
        <w:t> </w:t>
      </w:r>
      <w:r>
        <w:rPr>
          <w:rFonts w:ascii="Times New Roman" w:hAnsi="Times New Roman"/>
          <w:b w:val="false"/>
          <w:i w:val="false"/>
          <w:color w:val="000000"/>
          <w:sz w:val="22"/>
        </w:rPr>
        <w:t>The executive secretary will issue a written ruling specifying the grounds for its decision within 20 days after a request for an administrative law judge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16.6(4)</w:t>
      </w:r>
      <w:r>
        <w:rPr>
          <w:rFonts w:ascii="Times New Roman" w:hAnsi="Times New Roman"/>
          <w:b w:val="false"/>
          <w:i w:val="false"/>
          <w:color w:val="000000"/>
          <w:sz w:val="22"/>
        </w:rPr>
        <w:t> </w:t>
      </w:r>
      <w:r>
        <w:rPr>
          <w:rFonts w:ascii="Times New Roman" w:hAnsi="Times New Roman"/>
          <w:b w:val="false"/>
          <w:i w:val="false"/>
          <w:color w:val="000000"/>
          <w:sz w:val="22"/>
        </w:rPr>
        <w:t>The board does not adopt X.6(4).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16.6(6)</w:t>
      </w:r>
      <w:r>
        <w:rPr>
          <w:rFonts w:ascii="Times New Roman" w:hAnsi="Times New Roman"/>
          <w:b w:val="false"/>
          <w:i w:val="false"/>
          <w:color w:val="000000"/>
          <w:sz w:val="22"/>
        </w:rPr>
        <w:t> </w:t>
      </w:r>
      <w:r>
        <w:rPr>
          <w:rFonts w:ascii="Times New Roman" w:hAnsi="Times New Roman"/>
          <w:b w:val="false"/>
          <w:i w:val="false"/>
          <w:color w:val="000000"/>
          <w:sz w:val="22"/>
        </w:rPr>
        <w:t>In lieu of “agency heads and members of multimembered agency heads” insert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11">
        <w:r>
          <w:rPr>
            <w:rStyle w:val="Hyperlink"/>
            <w:rFonts w:ascii="Times New Roman" w:hAnsi="Times New Roman"/>
            <w:b w:val="false"/>
            <w:i w:val="false"/>
            <w:color w:val="000000"/>
            <w:sz w:val="22"/>
          </w:rPr>
          <w:t>16.9(1)</w:t>
        </w:r>
      </w:hyperlink>
      <w:r>
        <w:rPr>
          <w:rFonts w:ascii="Times New Roman" w:hAnsi="Times New Roman"/>
          <w:b w:val="false"/>
          <w:i w:val="false"/>
          <w:color w:val="000000"/>
          <w:sz w:val="22"/>
        </w:rPr>
        <w:t xml:space="preserve">, the party must file a motion supported by an affidavit pursuant to Iowa Code section </w:t>
      </w:r>
      <w:hyperlink r:id="rId12">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 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or other person must withdraw. If the presiding officer determines that withdrawal is not required, the presiding officer must enter an order to that effect.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must be filed with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16.15(5)</w:t>
      </w:r>
      <w:r>
        <w:rPr>
          <w:rFonts w:ascii="Times New Roman" w:hAnsi="Times New Roman"/>
          <w:b w:val="false"/>
          <w:i w:val="false"/>
          <w:color w:val="000000"/>
          <w:sz w:val="22"/>
        </w:rPr>
        <w:t> </w:t>
      </w:r>
      <w:r>
        <w:rPr>
          <w:rFonts w:ascii="Times New Roman" w:hAnsi="Times New Roman"/>
          <w:b w:val="false"/>
          <w:i w:val="false"/>
          <w:color w:val="000000"/>
          <w:sz w:val="22"/>
        </w:rPr>
        <w:t>The board does not adopt X.15(5).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The executive secretary has the authority to grant a continuance after consultation, if needed, with the chairperson of the board.</w:t>
      </w:r>
    </w:p>
    <w:p>
      <w:pPr>
        <w:spacing w:before="0" w:after="0"/>
        <w:ind w:left="120"/>
        <w:jc w:val="both"/>
      </w:pPr>
      <w:r>
        <w:rPr>
          <w:rFonts w:ascii="Times New Roman" w:hAnsi="Times New Roman"/>
          <w:b w:val="false"/>
          <w:i w:val="false"/>
          <w:color w:val="000000"/>
          <w:sz w:val="22"/>
        </w:rPr>
        <w:t>A request for continuance of a contested case matter must be submitted in writing to the board not later than seven days prior to the scheduled date of the hearing. Exceptions may be granted at the discretion of the executive secretary only in situations involving extenuating, extraordinary, or emergency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r>
        <w:rPr>
          <w:rFonts w:ascii="Times New Roman" w:hAnsi="Times New Roman"/>
          <w:b w:val="false"/>
          <w:i w:val="false"/>
          <w:color w:val="000000"/>
          <w:sz w:val="22"/>
        </w:rPr>
        <w:t>The board does not adopt X.19.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16.22(8)</w:t>
      </w:r>
      <w:r>
        <w:rPr>
          <w:rFonts w:ascii="Times New Roman" w:hAnsi="Times New Roman"/>
          <w:b w:val="false"/>
          <w:i w:val="false"/>
          <w:color w:val="000000"/>
          <w:sz w:val="22"/>
        </w:rPr>
        <w:t> </w:t>
      </w:r>
      <w:r>
        <w:rPr>
          <w:rFonts w:ascii="Times New Roman" w:hAnsi="Times New Roman"/>
          <w:b w:val="false"/>
          <w:i w:val="false"/>
          <w:color w:val="000000"/>
          <w:sz w:val="22"/>
        </w:rPr>
        <w:t>The board does not adopt X.22(8).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16.22(10)</w:t>
      </w:r>
      <w:r>
        <w:rPr>
          <w:rFonts w:ascii="Times New Roman" w:hAnsi="Times New Roman"/>
          <w:b w:val="false"/>
          <w:i w:val="false"/>
          <w:color w:val="000000"/>
          <w:sz w:val="22"/>
        </w:rPr>
        <w:t> </w:t>
      </w:r>
      <w:r>
        <w:rPr>
          <w:rFonts w:ascii="Times New Roman" w:hAnsi="Times New Roman"/>
          <w:b w:val="false"/>
          <w:i w:val="false"/>
          <w:color w:val="000000"/>
          <w:sz w:val="22"/>
        </w:rPr>
        <w:t>The board does not adopt X.22(10).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16.23(6)</w:t>
      </w:r>
      <w:r>
        <w:rPr>
          <w:rFonts w:ascii="Times New Roman" w:hAnsi="Times New Roman"/>
          <w:b w:val="false"/>
          <w:i w:val="false"/>
          <w:color w:val="000000"/>
          <w:sz w:val="22"/>
        </w:rPr>
        <w:t> </w:t>
      </w:r>
      <w:r>
        <w:rPr>
          <w:rFonts w:ascii="Times New Roman" w:hAnsi="Times New Roman"/>
          <w:b w:val="false"/>
          <w:i w:val="false"/>
          <w:color w:val="000000"/>
          <w:sz w:val="22"/>
        </w:rPr>
        <w:t>In lieu of “executive director” insert “executive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on a hearing panel, as a member of a full board hearing, on an intra-agency appeal, or other basis, a presiding officer must disclose to all parties material factual information received through ex parte communication prior to such assignment, unless the factual information has already been or shortly will be disclosed pursuant to Iowa Code section </w:t>
      </w:r>
      <w:hyperlink r:id="rId13">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16.23(10)</w:t>
      </w:r>
      <w:r>
        <w:rPr>
          <w:rFonts w:ascii="Times New Roman" w:hAnsi="Times New Roman"/>
          <w:b w:val="false"/>
          <w:i w:val="false"/>
          <w:color w:val="000000"/>
          <w:sz w:val="22"/>
        </w:rPr>
        <w:t> </w:t>
      </w:r>
      <w:r>
        <w:rPr>
          <w:rFonts w:ascii="Times New Roman" w:hAnsi="Times New Roman"/>
          <w:b w:val="false"/>
          <w:i w:val="false"/>
          <w:color w:val="000000"/>
          <w:sz w:val="22"/>
        </w:rPr>
        <w:t>In lieu of “(agency to designate person to whom violations should be reported)” insert “the board’s executive secretary”.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811—16.24</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In lieu of “(agency name)” insert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The board does not adopt X.25.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r>
        <w:rPr>
          <w:rFonts w:ascii="Times New Roman" w:hAnsi="Times New Roman"/>
          <w:b w:val="false"/>
          <w:i w:val="false"/>
          <w:color w:val="000000"/>
          <w:sz w:val="22"/>
        </w:rPr>
        <w:t>When the board presides over reception of the evidence at the hearing, its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16.26(1)</w:t>
      </w:r>
      <w:r>
        <w:rPr>
          <w:rFonts w:ascii="Times New Roman" w:hAnsi="Times New Roman"/>
          <w:b w:val="false"/>
          <w:i w:val="false"/>
          <w:color w:val="000000"/>
          <w:sz w:val="22"/>
        </w:rPr>
        <w:t> </w:t>
      </w:r>
      <w:r>
        <w:rPr>
          <w:rFonts w:ascii="Times New Roman" w:hAnsi="Times New Roman"/>
          <w:b w:val="false"/>
          <w:i w:val="false"/>
          <w:color w:val="000000"/>
          <w:sz w:val="22"/>
        </w:rPr>
        <w:t>When a panel of specialists presides over the reception of evidence at the hearing, the findings of fact will be considered by the board at the earliest feasible time. The decision of the board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16.26(2)</w:t>
      </w:r>
      <w:r>
        <w:rPr>
          <w:rFonts w:ascii="Times New Roman" w:hAnsi="Times New Roman"/>
          <w:b w:val="false"/>
          <w:i w:val="false"/>
          <w:color w:val="000000"/>
          <w:sz w:val="22"/>
        </w:rPr>
        <w:t> </w:t>
      </w:r>
      <w:r>
        <w:rPr>
          <w:rFonts w:ascii="Times New Roman" w:hAnsi="Times New Roman"/>
          <w:b w:val="false"/>
          <w:i w:val="false"/>
          <w:color w:val="000000"/>
          <w:sz w:val="22"/>
        </w:rPr>
        <w:t>A final decision in a contested case proceeding must be in writing and include findings of fact and conclusions of law, separately 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Findings of fact must be accompanied by a concise and explicit statement of underlying facts supporting the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decision must include an explanation of why the relevant evidence in the record supports each material finding of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Conclusions of law must be supported by cited authority or by a reasoned opinion.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 or order must be promptly delivered to the parties in the manner provided by Iowa Code section </w:t>
      </w:r>
      <w:hyperlink r:id="rId14">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decision is a public record pursuant to Iowa Code section </w:t>
      </w:r>
      <w:hyperlink r:id="rId15">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 xml:space="preserve">Any adversely affected party may appeal a final decision of the board to the district court within 30 days after issuance in accordance with Iowa Code section </w:t>
      </w:r>
      <w:hyperlink r:id="rId1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may initiate review of the decision or order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 xml:space="preserve">In lieu of “a proposed decision” insert “decision or order”, and in lieu of “(agency name)” insert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In lieu of “14 days (or other time period designated by the agency)” insert “15 days”. In lieu of “(board, commission, director)” insert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In lieu of “(agency name)” insert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In lieu of “(board, commission, director)” insert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In lieu of “(agency name)” insert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In lieu of “(agency name)” insert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agency actions. </w:t>
      </w:r>
      <w:r>
        <w:rPr>
          <w:rFonts w:ascii="Times New Roman" w:hAnsi="Times New Roman"/>
          <w:b w:val="false"/>
          <w:i w:val="false"/>
          <w:color w:val="000000"/>
          <w:sz w:val="22"/>
        </w:rPr>
        <w:t>The board does not adopt X.29.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811—16.30</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811—16.31</w:t>
      </w:r>
      <w:r>
        <w:rPr>
          <w:rFonts w:ascii="Times New Roman" w:hAnsi="Times New Roman"/>
          <w:b/>
          <w:i w:val="false"/>
          <w:color w:val="000000"/>
          <w:sz w:val="22"/>
        </w:rPr>
        <w:t xml:space="preserve">(272C) </w:t>
      </w:r>
      <w:r>
        <w:rPr>
          <w:rFonts w:ascii="Times New Roman" w:hAnsi="Times New Roman"/>
          <w:b/>
          <w:i w:val="false"/>
          <w:color w:val="000000"/>
          <w:sz w:val="22"/>
        </w:rPr>
        <w:t xml:space="preserve">Disciplinary hearing—fees and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 in relation to a formal disciplinary action filed by the board against a credential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“Deposition” </w:t>
      </w:r>
      <w:r>
        <w:rPr>
          <w:rFonts w:ascii="Times New Roman" w:hAnsi="Times New Roman"/>
          <w:b w:val="false"/>
          <w:i w:val="false"/>
          <w:color w:val="000000"/>
          <w:sz w:val="22"/>
        </w:rPr>
        <w:t>means the testimony of a person taken pursuant to subpoena or at the request of the state of Iowa taken in a setting other than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“Expenses” </w:t>
      </w:r>
      <w:r>
        <w:rPr>
          <w:rFonts w:ascii="Times New Roman" w:hAnsi="Times New Roman"/>
          <w:b w:val="false"/>
          <w:i w:val="false"/>
          <w:color w:val="000000"/>
          <w:sz w:val="22"/>
        </w:rPr>
        <w:t xml:space="preserve">means costs incurred by persons appearing pursuant to subpoena or at the request of the state of Iowa for purposes of providing testimony on the part of the state of Iowa in a hearing or other official proceeding and shall include mileage reimbursement at the rate specified in Iowa Code section </w:t>
      </w:r>
      <w:hyperlink r:id="rId17">
        <w:r>
          <w:rPr>
            <w:rStyle w:val="Hyperlink"/>
            <w:rFonts w:ascii="Times New Roman" w:hAnsi="Times New Roman"/>
            <w:b w:val="false"/>
            <w:i w:val="false"/>
            <w:color w:val="000000"/>
            <w:sz w:val="22"/>
          </w:rPr>
          <w:t>70A.9</w:t>
        </w:r>
      </w:hyperlink>
      <w:r>
        <w:rPr>
          <w:rFonts w:ascii="Times New Roman" w:hAnsi="Times New Roman"/>
          <w:b w:val="false"/>
          <w:i w:val="false"/>
          <w:color w:val="000000"/>
          <w:sz w:val="22"/>
        </w:rPr>
        <w:t xml:space="preserve"> or, if commercial air or ground transportation is used, the actual cost of transportation to and from the proceeding. Also included are actual costs incurred for meals and necessary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examination fees” </w:t>
      </w:r>
      <w:r>
        <w:rPr>
          <w:rFonts w:ascii="Times New Roman" w:hAnsi="Times New Roman"/>
          <w:b w:val="false"/>
          <w:i w:val="false"/>
          <w:color w:val="000000"/>
          <w:sz w:val="22"/>
        </w:rPr>
        <w:t>means actual costs incurred by the board in a physical, mental, chemical abuse, or other impairment-related examination or evaluation of a credential holder when the examination or evaluation is conducted pursuant to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means the proceedings of the hearing including but not limited to the transcript and any documentary evidence admitted or offered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“Transcript” </w:t>
      </w:r>
      <w:r>
        <w:rPr>
          <w:rFonts w:ascii="Times New Roman" w:hAnsi="Times New Roman"/>
          <w:b w:val="false"/>
          <w:i w:val="false"/>
          <w:color w:val="000000"/>
          <w:sz w:val="22"/>
        </w:rPr>
        <w:t>means a printed verbatim reproduction of everything said on the record during a hearing or other official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“Witness fees” </w:t>
      </w:r>
      <w:r>
        <w:rPr>
          <w:rFonts w:ascii="Times New Roman" w:hAnsi="Times New Roman"/>
          <w:b w:val="false"/>
          <w:i w:val="false"/>
          <w:color w:val="000000"/>
          <w:sz w:val="22"/>
        </w:rPr>
        <w:t xml:space="preserve">means compensation paid by the board to persons appearing pursuant to subpoena or at the request of the state of Iowa for purposes of providing testimony on the part of the state of Iowa. For the purpose of this rule, compensation shall be the same as outlined in Iowa Code section </w:t>
      </w:r>
      <w:hyperlink r:id="rId18">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16.31(2)</w:t>
      </w:r>
      <w:r>
        <w:rPr>
          <w:rFonts w:ascii="Times New Roman" w:hAnsi="Times New Roman"/>
          <w:b w:val="false"/>
          <w:i w:val="false"/>
          <w:color w:val="000000"/>
          <w:sz w:val="22"/>
        </w:rPr>
        <w:t> </w:t>
      </w:r>
      <w:r>
        <w:rPr>
          <w:rFonts w:ascii="Times New Roman" w:hAnsi="Times New Roman"/>
          <w:b w:val="false"/>
          <w:i/>
          <w:color w:val="000000"/>
          <w:sz w:val="22"/>
        </w:rPr>
        <w:t xml:space="preserve">Disciplinary hearing fee. </w:t>
      </w:r>
      <w:r>
        <w:rPr>
          <w:rFonts w:ascii="Times New Roman" w:hAnsi="Times New Roman"/>
          <w:b w:val="false"/>
          <w:i w:val="false"/>
          <w:color w:val="000000"/>
          <w:sz w:val="22"/>
        </w:rPr>
        <w:t xml:space="preserve">The board may charge a fee not to exceed the amount authorized in Iowa Code section </w:t>
      </w:r>
      <w:hyperlink r:id="rId20">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for conducting a disciplinary hearing that results in disciplinary action taken against the credential holder by the board. An order assessing a fee must be included as part of the board’s final decision. The order must direct the credential holder to deliver payment directly to the department of agriculture and land stewardship as provided in subrule </w:t>
      </w:r>
      <w:hyperlink r:id="rId21">
        <w:r>
          <w:rPr>
            <w:rStyle w:val="Hyperlink"/>
            <w:rFonts w:ascii="Times New Roman" w:hAnsi="Times New Roman"/>
            <w:b w:val="false"/>
            <w:i w:val="false"/>
            <w:color w:val="000000"/>
            <w:sz w:val="22"/>
          </w:rPr>
          <w:t>16.31(6)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16.31(3)</w:t>
      </w:r>
      <w:r>
        <w:rPr>
          <w:rFonts w:ascii="Times New Roman" w:hAnsi="Times New Roman"/>
          <w:b w:val="false"/>
          <w:i w:val="false"/>
          <w:color w:val="000000"/>
          <w:sz w:val="22"/>
        </w:rPr>
        <w:t> </w:t>
      </w:r>
      <w:r>
        <w:rPr>
          <w:rFonts w:ascii="Times New Roman" w:hAnsi="Times New Roman"/>
          <w:b w:val="false"/>
          <w:i/>
          <w:color w:val="000000"/>
          <w:sz w:val="22"/>
        </w:rPr>
        <w:t xml:space="preserve">Recovery of related hearing costs. </w:t>
      </w:r>
      <w:r>
        <w:rPr>
          <w:rFonts w:ascii="Times New Roman" w:hAnsi="Times New Roman"/>
          <w:b w:val="false"/>
          <w:i w:val="false"/>
          <w:color w:val="000000"/>
          <w:sz w:val="22"/>
        </w:rPr>
        <w:t>The board may also recover from the credential holder the costs for transcripts, witness fees and expenses, depositions, and medical examination fees, if disciplinary action is taken. The board may assess these costs in the manner it deems most equitable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Transcript costs. </w:t>
      </w:r>
      <w:r>
        <w:rPr>
          <w:rFonts w:ascii="Times New Roman" w:hAnsi="Times New Roman"/>
          <w:b w:val="false"/>
          <w:i w:val="false"/>
          <w:color w:val="000000"/>
          <w:sz w:val="22"/>
        </w:rPr>
        <w:t xml:space="preserve">The board may assess the transcript costs against the credential holder pursuant to Iowa Code section </w:t>
      </w:r>
      <w:hyperlink r:id="rId22">
        <w:r>
          <w:rPr>
            <w:rStyle w:val="Hyperlink"/>
            <w:rFonts w:ascii="Times New Roman" w:hAnsi="Times New Roman"/>
            <w:b w:val="false"/>
            <w:i w:val="false"/>
            <w:color w:val="000000"/>
            <w:sz w:val="22"/>
          </w:rPr>
          <w:t>272C.6(6)</w:t>
        </w:r>
      </w:hyperlink>
      <w:r>
        <w:rPr>
          <w:rFonts w:ascii="Times New Roman" w:hAnsi="Times New Roman"/>
          <w:b w:val="false"/>
          <w:i w:val="false"/>
          <w:color w:val="000000"/>
          <w:sz w:val="22"/>
        </w:rPr>
        <w:t xml:space="preserve"> or against the requesting party pursuant to Iowa Code section </w:t>
      </w:r>
      <w:hyperlink r:id="rId23">
        <w:r>
          <w:rPr>
            <w:rStyle w:val="Hyperlink"/>
            <w:rFonts w:ascii="Times New Roman" w:hAnsi="Times New Roman"/>
            <w:b w:val="false"/>
            <w:i w:val="false"/>
            <w:color w:val="000000"/>
            <w:sz w:val="22"/>
          </w:rPr>
          <w:t>17A.12(7)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of the transcript includes the transcript of the original contested case hearing before the board, as well as transcripts of any other formal proceedings before the board that occur after the notice of the contested case hearing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event of an appeal to the full board from a proposed decision, the appealing party must timely request and pay for the transcript necessary for use in the board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Witness fees and expenses. </w:t>
      </w:r>
      <w:r>
        <w:rPr>
          <w:rFonts w:ascii="Times New Roman" w:hAnsi="Times New Roman"/>
          <w:b w:val="false"/>
          <w:i w:val="false"/>
          <w:color w:val="000000"/>
          <w:sz w:val="22"/>
        </w:rPr>
        <w:t>The parties in a contested case are responsible for any witness fees and expenses incurred by witnesses appearing at the contested case hearing. In addition, the board may assess a credential holder the witness fees and expenses incurred by witnesses called to testify on behalf of the state of Iowa, provided that the costs are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for lay witnesses will be determined in accordance with Iowa Code section </w:t>
      </w:r>
      <w:hyperlink r:id="rId24">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For purposes of calculating the mileage expenses allowed under that section, the provisions of Iowa Code section </w:t>
      </w:r>
      <w:hyperlink r:id="rId25">
        <w:r>
          <w:rPr>
            <w:rStyle w:val="Hyperlink"/>
            <w:rFonts w:ascii="Times New Roman" w:hAnsi="Times New Roman"/>
            <w:b w:val="false"/>
            <w:i w:val="false"/>
            <w:color w:val="000000"/>
            <w:sz w:val="22"/>
          </w:rPr>
          <w:t>625.2</w:t>
        </w:r>
      </w:hyperlink>
      <w:r>
        <w:rPr>
          <w:rFonts w:ascii="Times New Roman" w:hAnsi="Times New Roman"/>
          <w:b w:val="false"/>
          <w:i w:val="false"/>
          <w:color w:val="000000"/>
          <w:sz w:val="22"/>
        </w:rPr>
        <w:t xml:space="preserve"> do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for expert witnesses will be determined in accordance with Iowa Code section </w:t>
      </w:r>
      <w:hyperlink r:id="rId26">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xml:space="preserve">. For purposes of calculating the mileage expenses allowed under that section, the provisions of Iowa Code section </w:t>
      </w:r>
      <w:hyperlink r:id="rId27">
        <w:r>
          <w:rPr>
            <w:rStyle w:val="Hyperlink"/>
            <w:rFonts w:ascii="Times New Roman" w:hAnsi="Times New Roman"/>
            <w:b w:val="false"/>
            <w:i w:val="false"/>
            <w:color w:val="000000"/>
            <w:sz w:val="22"/>
          </w:rPr>
          <w:t>625.2</w:t>
        </w:r>
      </w:hyperlink>
      <w:r>
        <w:rPr>
          <w:rFonts w:ascii="Times New Roman" w:hAnsi="Times New Roman"/>
          <w:b w:val="false"/>
          <w:i w:val="false"/>
          <w:color w:val="000000"/>
          <w:sz w:val="22"/>
        </w:rPr>
        <w:t xml:space="preserve"> do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Iowa Code section </w:t>
      </w:r>
      <w:hyperlink r:id="rId28">
        <w:r>
          <w:rPr>
            <w:rStyle w:val="Hyperlink"/>
            <w:rFonts w:ascii="Times New Roman" w:hAnsi="Times New Roman"/>
            <w:b w:val="false"/>
            <w:i w:val="false"/>
            <w:color w:val="000000"/>
            <w:sz w:val="22"/>
          </w:rPr>
          <w:t>622.74</w:t>
        </w:r>
      </w:hyperlink>
      <w:r>
        <w:rPr>
          <w:rFonts w:ascii="Times New Roman" w:hAnsi="Times New Roman"/>
          <w:b w:val="false"/>
          <w:i w:val="false"/>
          <w:color w:val="000000"/>
          <w:sz w:val="22"/>
        </w:rPr>
        <w:t xml:space="preserve"> regarding advance payment of witness fees and the consequences of failure to make such payment are applicable with regard to witnesses who are subpoenaed by either party to testify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board may assess as costs the meal and lodging expenses necessarily incurred by witnesses testifying at the request of the state of Iowa. Meal and lodging costs shall not exceed the reimbursement employees of the state of Iowa receive for these expenses under the department of revenue guidelines currently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Deposition costs. </w:t>
      </w:r>
      <w:r>
        <w:rPr>
          <w:rFonts w:ascii="Times New Roman" w:hAnsi="Times New Roman"/>
          <w:b w:val="false"/>
          <w:i w:val="false"/>
          <w:color w:val="000000"/>
          <w:sz w:val="22"/>
        </w:rPr>
        <w:t>Deposition costs for purposes of allocating costs against a credential holder include only those deposition costs incurred by the state of Iowa. The credential holder is directly responsible for the payment of deposition costs incurred by the credential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for depositions include the cost of transcripts, the daily charge of the court reporter for attending and transcribing the deposition, and all mileage and travel time charges of the court reporter for traveling to and from the deposition that are charged in the ordinary course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deposition is of an expert witness, the deposition costs include a reasonable fee for an expert witness. This fee must not exceed the expert’s customary hourly or daily fee, and must include the time reasonably and necessarily spent in connection with the deposition, including the time spent in travel to and from the deposition, but excluding time spent in preparation for the deposition.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Medical examination fees. </w:t>
      </w:r>
      <w:r>
        <w:rPr>
          <w:rFonts w:ascii="Times New Roman" w:hAnsi="Times New Roman"/>
          <w:b w:val="false"/>
          <w:i w:val="false"/>
          <w:color w:val="000000"/>
          <w:sz w:val="22"/>
        </w:rPr>
        <w:t xml:space="preserve">All costs of physical or mental examinations ordered by the board pursuant to Iowa Code section </w:t>
      </w:r>
      <w:hyperlink r:id="rId29">
        <w:r>
          <w:rPr>
            <w:rStyle w:val="Hyperlink"/>
            <w:rFonts w:ascii="Times New Roman" w:hAnsi="Times New Roman"/>
            <w:b w:val="false"/>
            <w:i w:val="false"/>
            <w:color w:val="000000"/>
            <w:sz w:val="22"/>
          </w:rPr>
          <w:t>272C.9(1)</w:t>
        </w:r>
      </w:hyperlink>
      <w:r>
        <w:rPr>
          <w:rFonts w:ascii="Times New Roman" w:hAnsi="Times New Roman"/>
          <w:b w:val="false"/>
          <w:i w:val="false"/>
          <w:color w:val="000000"/>
          <w:sz w:val="22"/>
        </w:rPr>
        <w:t xml:space="preserve"> as part of an investigation of a pending complaint or as a sanction following a contested case must be paid directly by the credential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16.31(4)</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reimbursable costs. </w:t>
      </w:r>
      <w:r>
        <w:rPr>
          <w:rFonts w:ascii="Times New Roman" w:hAnsi="Times New Roman"/>
          <w:b w:val="false"/>
          <w:i w:val="false"/>
          <w:color w:val="000000"/>
          <w:sz w:val="22"/>
        </w:rPr>
        <w:t>Within ten days after conclusion of a contested case hearing and before issuance of any final decision assessing costs, the secretary must certify any reimbursable costs to the board. The secretary must calculate the specific costs, certify the costs calculated, and file the certification as part of the record in the contested case. A copy of the certification must be served on each party of record at the time of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16.31(5)</w:t>
      </w:r>
      <w:r>
        <w:rPr>
          <w:rFonts w:ascii="Times New Roman" w:hAnsi="Times New Roman"/>
          <w:b w:val="false"/>
          <w:i w:val="false"/>
          <w:color w:val="000000"/>
          <w:sz w:val="22"/>
        </w:rPr>
        <w:t> </w:t>
      </w:r>
      <w:r>
        <w:rPr>
          <w:rFonts w:ascii="Times New Roman" w:hAnsi="Times New Roman"/>
          <w:b w:val="false"/>
          <w:i/>
          <w:color w:val="000000"/>
          <w:sz w:val="22"/>
        </w:rPr>
        <w:t xml:space="preserve">Assessment of fees and costs. </w:t>
      </w:r>
      <w:r>
        <w:rPr>
          <w:rFonts w:ascii="Times New Roman" w:hAnsi="Times New Roman"/>
          <w:b w:val="false"/>
          <w:i w:val="false"/>
          <w:color w:val="000000"/>
          <w:sz w:val="22"/>
        </w:rPr>
        <w:t>A final decision of the board imposing disciplinary action against a credential holder must include the amount of any fee assessed. If the board also assesses costs against the credential holder, the final decision must include a statement of costs delineating each category of costs and the amount assessed. The board must specify the time period in which the fees and costs must be paid by the credential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must file an objection to any fees or costs imposed in a final decision in order to exhaust administrative remedies. An objection must be filed in the form of an application for rehearing pursuant to Iowa Code section </w:t>
      </w:r>
      <w:hyperlink r:id="rId30">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must be resolved by the board consistent with the procedures for ruling on an application for rehearing. Any dispute regarding the calculations of any fees or costs to be assessed may be resolved by the board upon receipt of the parties’ written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16.31(6)</w:t>
      </w:r>
      <w:r>
        <w:rPr>
          <w:rFonts w:ascii="Times New Roman" w:hAnsi="Times New Roman"/>
          <w:b w:val="false"/>
          <w:i w:val="false"/>
          <w:color w:val="000000"/>
          <w:sz w:val="22"/>
        </w:rPr>
        <w:t> </w:t>
      </w:r>
      <w:r>
        <w:rPr>
          <w:rFonts w:ascii="Times New Roman" w:hAnsi="Times New Roman"/>
          <w:b w:val="false"/>
          <w:i/>
          <w:color w:val="000000"/>
          <w:sz w:val="22"/>
        </w:rPr>
        <w:t xml:space="preserve">Payment of fees and costs. </w:t>
      </w:r>
      <w:r>
        <w:rPr>
          <w:rFonts w:ascii="Times New Roman" w:hAnsi="Times New Roman"/>
          <w:b w:val="false"/>
          <w:i w:val="false"/>
          <w:color w:val="000000"/>
          <w:sz w:val="22"/>
        </w:rPr>
        <w:t>Payment for fees and costs assessed pursuant to this rule must be made in the form of a check or money order made payable to the state of Iowa and delivered by the credential holder to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16.31(7)</w:t>
      </w:r>
      <w:r>
        <w:rPr>
          <w:rFonts w:ascii="Times New Roman" w:hAnsi="Times New Roman"/>
          <w:b w:val="false"/>
          <w:i w:val="false"/>
          <w:color w:val="000000"/>
          <w:sz w:val="22"/>
        </w:rPr>
        <w:t> </w:t>
      </w:r>
      <w:r>
        <w:rPr>
          <w:rFonts w:ascii="Times New Roman" w:hAnsi="Times New Roman"/>
          <w:b w:val="false"/>
          <w:i/>
          <w:color w:val="000000"/>
          <w:sz w:val="22"/>
        </w:rPr>
        <w:t xml:space="preserve">Failure to make payment. </w:t>
      </w:r>
      <w:r>
        <w:rPr>
          <w:rFonts w:ascii="Times New Roman" w:hAnsi="Times New Roman"/>
          <w:b w:val="false"/>
          <w:i w:val="false"/>
          <w:color w:val="000000"/>
          <w:sz w:val="22"/>
        </w:rPr>
        <w:t>Failure of a credential holder to pay any fees and costs within the time specified in the board’s decision constitutes a violation of an order of the board and is grounds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8024C</w:t>
      </w:r>
      <w:r>
        <w:rPr>
          <w:rFonts w:ascii="Times New Roman" w:hAnsi="Times New Roman"/>
          <w:b w:val="false"/>
          <w:i w:val="false"/>
          <w:color w:val="000000"/>
          <w:sz w:val="21"/>
        </w:rPr>
        <w:t xml:space="preserve"> (Notice ARC 7570C, IAB 1/24/24)</w:t>
      </w:r>
      <w:r>
        <w:rPr>
          <w:rFonts w:ascii="Times New Roman" w:hAnsi="Times New Roman"/>
          <w:b w:val="false"/>
          <w:i w:val="false"/>
          <w:color w:val="000000"/>
          <w:sz w:val="21"/>
        </w:rPr>
        <w:t>, IAB 5/15/24, effective 7/1/24]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17A.12.pdf" Type="http://schemas.openxmlformats.org/officeDocument/2006/relationships/hyperlink" Id="rId7"/>
    <Relationship TargetMode="External" Target="https://www.legis.iowa.gov/docs/ico/chapter/272C.6.pdf" Type="http://schemas.openxmlformats.org/officeDocument/2006/relationships/hyperlink" Id="rId8"/>
    <Relationship TargetMode="External" Target="https://www.legis.iowa.gov/docs/ico/chapter/17A.11.pdf" Type="http://schemas.openxmlformats.org/officeDocument/2006/relationships/hyperlink" Id="rId9"/>
    <Relationship TargetMode="External" Target="https://www.legis.iowa.gov/docs/ico/chapter/272C.6.pdf" Type="http://schemas.openxmlformats.org/officeDocument/2006/relationships/hyperlink" Id="rId10"/>
    <Relationship TargetMode="External" Target="https://www.legis.iowa.gov/docs/iac/rule/811.16.9.pdf" Type="http://schemas.openxmlformats.org/officeDocument/2006/relationships/hyperlink" Id="rId11"/>
    <Relationship TargetMode="External" Target="https://www.legis.iowa.gov/docs/ico/chapter/17A.17.pdf" Type="http://schemas.openxmlformats.org/officeDocument/2006/relationships/hyperlink" Id="rId12"/>
    <Relationship TargetMode="External" Target="https://www.legis.iowa.gov/docs/ico/chapter/17A.13.pdf" Type="http://schemas.openxmlformats.org/officeDocument/2006/relationships/hyperlink" Id="rId13"/>
    <Relationship TargetMode="External" Target="https://www.legis.iowa.gov/docs/ico/chapter/17A.12.pdf" Type="http://schemas.openxmlformats.org/officeDocument/2006/relationships/hyperlink" Id="rId14"/>
    <Relationship TargetMode="External" Target="https://www.legis.iowa.gov/docs/ico/chapter/272C.6.pdf" Type="http://schemas.openxmlformats.org/officeDocument/2006/relationships/hyperlink" Id="rId15"/>
    <Relationship TargetMode="External" Target="https://www.legis.iowa.gov/docs/ico/chapter/17A.19.pdf" Type="http://schemas.openxmlformats.org/officeDocument/2006/relationships/hyperlink" Id="rId16"/>
    <Relationship TargetMode="External" Target="https://www.legis.iowa.gov/docs/ico/chapter/70A.9.pdf" Type="http://schemas.openxmlformats.org/officeDocument/2006/relationships/hyperlink" Id="rId17"/>
    <Relationship TargetMode="External" Target="https://www.legis.iowa.gov/docs/ico/chapter/622.69.pdf" Type="http://schemas.openxmlformats.org/officeDocument/2006/relationships/hyperlink" Id="rId18"/>
    <Relationship TargetMode="External" Target="https://www.legis.iowa.gov/docs/ico/chapter/622.72.pdf" Type="http://schemas.openxmlformats.org/officeDocument/2006/relationships/hyperlink" Id="rId19"/>
    <Relationship TargetMode="External" Target="https://www.legis.iowa.gov/docs/ico/chapter/272C.6.pdf" Type="http://schemas.openxmlformats.org/officeDocument/2006/relationships/hyperlink" Id="rId20"/>
    <Relationship TargetMode="External" Target="https://www.legis.iowa.gov/docs/iac/rule/811.16.31.pdf" Type="http://schemas.openxmlformats.org/officeDocument/2006/relationships/hyperlink" Id="rId21"/>
    <Relationship TargetMode="External" Target="https://www.legis.iowa.gov/docs/ico/chapter/272C.6.pdf" Type="http://schemas.openxmlformats.org/officeDocument/2006/relationships/hyperlink" Id="rId22"/>
    <Relationship TargetMode="External" Target="https://www.legis.iowa.gov/docs/ico/chapter/17A.12.pdf" Type="http://schemas.openxmlformats.org/officeDocument/2006/relationships/hyperlink" Id="rId23"/>
    <Relationship TargetMode="External" Target="https://www.legis.iowa.gov/docs/ico/chapter/622.69.pdf" Type="http://schemas.openxmlformats.org/officeDocument/2006/relationships/hyperlink" Id="rId24"/>
    <Relationship TargetMode="External" Target="https://www.legis.iowa.gov/docs/ico/chapter/625.2.pdf" Type="http://schemas.openxmlformats.org/officeDocument/2006/relationships/hyperlink" Id="rId25"/>
    <Relationship TargetMode="External" Target="https://www.legis.iowa.gov/docs/ico/chapter/622.72.pdf" Type="http://schemas.openxmlformats.org/officeDocument/2006/relationships/hyperlink" Id="rId26"/>
    <Relationship TargetMode="External" Target="https://www.legis.iowa.gov/docs/ico/chapter/625.2.pdf" Type="http://schemas.openxmlformats.org/officeDocument/2006/relationships/hyperlink" Id="rId27"/>
    <Relationship TargetMode="External" Target="https://www.legis.iowa.gov/docs/ico/chapter/622.74.pdf" Type="http://schemas.openxmlformats.org/officeDocument/2006/relationships/hyperlink" Id="rId28"/>
    <Relationship TargetMode="External" Target="https://www.legis.iowa.gov/docs/ico/chapter/272C.9.pdf" Type="http://schemas.openxmlformats.org/officeDocument/2006/relationships/hyperlink" Id="rId29"/>
    <Relationship TargetMode="External" Target="https://www.legis.iowa.gov/docs/ico/chapter/17A.16.pdf" Type="http://schemas.openxmlformats.org/officeDocument/2006/relationships/hyperlink" Id="rId30"/>
    <Relationship TargetMode="External" Target="https://www.legis.iowa.gov/docs/ico/chapter/17A.pdf" Type="http://schemas.openxmlformats.org/officeDocument/2006/relationships/hyperlink" Id="rId31"/>
    <Relationship TargetMode="External" Target="https://www.legis.iowa.gov/docs/ico/chapter/169.pdf" Type="http://schemas.openxmlformats.org/officeDocument/2006/relationships/hyperlink" Id="rId32"/>
    <Relationship TargetMode="External" Target="https://www.legis.iowa.gov/docs/ico/chapter/272C.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