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RULINGS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685—3.1</w:t>
      </w:r>
      <w:r>
        <w:rPr>
          <w:rFonts w:ascii="Times New Roman" w:hAnsi="Times New Roman"/>
          <w:b/>
          <w:i w:val="false"/>
          <w:color w:val="000000"/>
          <w:sz w:val="22"/>
        </w:rPr>
        <w:t xml:space="preserve">(17A) </w:t>
      </w:r>
      <w:r>
        <w:rPr>
          <w:rFonts w:ascii="Times New Roman" w:hAnsi="Times New Roman"/>
          <w:b/>
          <w:i w:val="false"/>
          <w:color w:val="000000"/>
          <w:sz w:val="22"/>
        </w:rPr>
        <w:t xml:space="preserve">Providing declaratory rulings.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val="false"/>
          <w:color w:val="000000"/>
          <w:sz w:val="22"/>
        </w:rPr>
        <w:t>Petitions for declaratory rulings are made to the director of the agency in writing. Each petition shall describe the facts or circumstances giving rise to the request for a ruling, shall contain the text or a citation to the statute, rule, statement of law or policy, decision or order to which the petition relates, and shall specify the action requested. The OSA may request additional information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val="false"/>
          <w:color w:val="000000"/>
          <w:sz w:val="22"/>
        </w:rPr>
        <w:t>Within 30 days after submission of a petition the director issues in writing a declaratory ruling on the rule in question, except in cases where the request is outside of the scope of OSA authority.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emergency 2/19/88—published 3/9/88, effective 2/19/88]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