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PROCEDURES FOR PETITIONING FOR ADOPTION OF NEW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685—2.1</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Petitions requesting the promulgation, amendment, waiver, or repeal of a rule shall be made to the director in writing and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text of the rule as is and as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concise statement of the reasons for the adoption, amendment, waiver, or repeal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statutes, rules, or orders applicable to the question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waiver is sought pursuant to rule </w:t>
      </w:r>
      <w:hyperlink r:id="rId5">
        <w:r>
          <w:rPr>
            <w:rStyle w:val="Hyperlink"/>
            <w:rFonts w:ascii="Times New Roman" w:hAnsi="Times New Roman"/>
            <w:b w:val="false"/>
            <w:i w:val="false"/>
            <w:color w:val="000000"/>
            <w:sz w:val="22"/>
          </w:rPr>
          <w:t>685—2.2</w:t>
        </w:r>
      </w:hyperlink>
      <w:r>
        <w:rPr>
          <w:rFonts w:ascii="Times New Roman" w:hAnsi="Times New Roman"/>
          <w:b w:val="false"/>
          <w:i w:val="false"/>
          <w:color w:val="000000"/>
          <w:sz w:val="22"/>
        </w:rPr>
        <w:t xml:space="preserve">(17A), in addition to the information set forth in subrule </w:t>
      </w:r>
      <w:hyperlink r:id="rId6">
        <w:r>
          <w:rPr>
            <w:rStyle w:val="Hyperlink"/>
            <w:rFonts w:ascii="Times New Roman" w:hAnsi="Times New Roman"/>
            <w:b w:val="false"/>
            <w:i w:val="false"/>
            <w:color w:val="000000"/>
            <w:sz w:val="22"/>
          </w:rPr>
          <w:t>2.1(1)</w:t>
        </w:r>
      </w:hyperlink>
      <w:r>
        <w:rPr>
          <w:rFonts w:ascii="Times New Roman" w:hAnsi="Times New Roman"/>
          <w:b w:val="false"/>
          <w:i w:val="false"/>
          <w:color w:val="000000"/>
          <w:sz w:val="22"/>
        </w:rPr>
        <w:t>, the petition shall also include the following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Precise scope and requested duration of the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will support the four criteria set forth in paragraphs </w:t>
      </w:r>
      <w:hyperlink r:id="rId7">
        <w:r>
          <w:rPr>
            <w:rStyle w:val="Hyperlink"/>
            <w:rFonts w:ascii="Times New Roman" w:hAnsi="Times New Roman"/>
            <w:b w:val="false"/>
            <w:i w:val="false"/>
            <w:color w:val="000000"/>
            <w:sz w:val="22"/>
          </w:rPr>
          <w:t>2.2(3)</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all persons who may have knowledge about the facts and circumstances giving rise to the request for waiver;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all persons whom the petitioner believes may be adversely impacted by OSA’s granting of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OSA will notify the petitioner of the disposition of the petition within 60 days.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685—2.2</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term “waiver” means action by the state archaeologist that suspends in whole or in part the requirements or provisions of a rule as applied to an identified person on the basis of the particular circumstances of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The state archaeologist may grant a waiver from a rule only if OSA has jurisdiction over the rule and the requested waiver is consistent with applicable statutes and Constitutional provisions or other provisions of law. OSA may not waive requirements created or imposed by statute, by the state or federal Constitution, or by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 petition completed pursuant to rule </w:t>
      </w:r>
      <w:hyperlink r:id="rId9">
        <w:r>
          <w:rPr>
            <w:rStyle w:val="Hyperlink"/>
            <w:rFonts w:ascii="Times New Roman" w:hAnsi="Times New Roman"/>
            <w:b w:val="false"/>
            <w:i w:val="false"/>
            <w:color w:val="000000"/>
            <w:sz w:val="22"/>
          </w:rPr>
          <w:t>685—2.1</w:t>
        </w:r>
      </w:hyperlink>
      <w:r>
        <w:rPr>
          <w:rFonts w:ascii="Times New Roman" w:hAnsi="Times New Roman"/>
          <w:b w:val="false"/>
          <w:i w:val="false"/>
          <w:color w:val="000000"/>
          <w:sz w:val="22"/>
        </w:rPr>
        <w:t>(17A), OSA may in its sole discretion issue an order waiving in whole or in part the requirements of a rule if OSA, based on clear and convincing evidence, finds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val="false"/>
          <w:color w:val="000000"/>
          <w:sz w:val="22"/>
        </w:rPr>
        <w:t>OSA may require the petitioner to serve notice in a form prescribed by OSA on all persons to whom notice is required by any provision of law, as well as all persons who may be impacted by the grant or denial of the waiver sought. OSA may additionally require the petitioner to provide a written statement to OSA attesting that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sections </w:t>
      </w:r>
      <w:hyperlink r:id="rId10">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not otherwise apply to agency proceedings for a waiver. At a hearing on a petition for a waiver, the petitioner may offer exhibits and provide witnesses or testimony. The hearing may be in person, telephonic, or in any other format chosen by OSA. The state archaeologist, or the designee of the state archaeologist, shall preside over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w:t>
      </w:r>
      <w:r>
        <w:rPr>
          <w:rFonts w:ascii="Times New Roman" w:hAnsi="Times New Roman"/>
          <w:b w:val="false"/>
          <w:i w:val="false"/>
          <w:color w:val="000000"/>
          <w:sz w:val="22"/>
        </w:rPr>
        <w:t>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 OSA may place any condition on a waiver that OSA finds necessary and supportable by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2.2(7)</w:t>
      </w:r>
      <w:r>
        <w:rPr>
          <w:rFonts w:ascii="Times New Roman" w:hAnsi="Times New Roman"/>
          <w:b w:val="false"/>
          <w:i w:val="false"/>
          <w:color w:val="000000"/>
          <w:sz w:val="22"/>
        </w:rPr>
        <w:t> </w:t>
      </w:r>
      <w:r>
        <w:rPr>
          <w:rFonts w:ascii="Times New Roman" w:hAnsi="Times New Roman"/>
          <w:b w:val="false"/>
          <w:i w:val="false"/>
          <w:color w:val="000000"/>
          <w:sz w:val="22"/>
        </w:rPr>
        <w:t>The final decision on whether the circumstances justify the granting of a waiver shall be made at the sole discretion of OSA, upon consideration of all relevant factors. OSA shall evaluate each fact based on the unique, individual circumstances set out in the petition for waiver. The burden of persuasion rests with the petitioner to demonstrate by clear and convincing evidence that OSA should exercise its discretion to grant a waiver from an OSA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2.2(8)</w:t>
      </w:r>
      <w:r>
        <w:rPr>
          <w:rFonts w:ascii="Times New Roman" w:hAnsi="Times New Roman"/>
          <w:b w:val="false"/>
          <w:i w:val="false"/>
          <w:color w:val="000000"/>
          <w:sz w:val="22"/>
        </w:rPr>
        <w:t>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waiver petitions are public records under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that OSA is authorized or required to keep confidential. Accordingly, OSA may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w:t>
      </w:r>
      <w:r>
        <w:rPr>
          <w:rFonts w:ascii="Times New Roman" w:hAnsi="Times New Roman"/>
          <w:b w:val="false"/>
          <w:i w:val="false"/>
          <w:color w:val="000000"/>
          <w:sz w:val="22"/>
        </w:rPr>
        <w:t> </w:t>
      </w:r>
      <w:r>
        <w:rPr>
          <w:rFonts w:ascii="Times New Roman" w:hAnsi="Times New Roman"/>
          <w:b w:val="false"/>
          <w:i w:val="false"/>
          <w:color w:val="000000"/>
          <w:sz w:val="22"/>
        </w:rPr>
        <w:t>Semiannually, OSA shall prepare a summary report identifying the rules for which a waiver has been granted or denied, the number of times a waiver was granted or denied for each rule, a citation to the statutory provisions implemented by the rules, and a general summary of the reasons justifying OSA’s actions on waiver requests. If practicable, the report shall detail the extent to which the granting of a waiver has affected the general applicability of the rule itself. Copies of this report shall be available for public inspection and shall be provided semiannually to the administrative rules coordinator and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w:t>
      </w:r>
      <w:r>
        <w:rPr>
          <w:rFonts w:ascii="Times New Roman" w:hAnsi="Times New Roman"/>
          <w:b w:val="false"/>
          <w:i w:val="false"/>
          <w:color w:val="000000"/>
          <w:sz w:val="22"/>
        </w:rPr>
        <w:t> </w:t>
      </w:r>
      <w:r>
        <w:rPr>
          <w:rFonts w:ascii="Times New Roman" w:hAnsi="Times New Roman"/>
          <w:b w:val="false"/>
          <w:i w:val="false"/>
          <w:color w:val="000000"/>
          <w:sz w:val="22"/>
        </w:rPr>
        <w:t>A waiver issued by OSA pursuant to this chapter may be withdrawn, canceled, or modified if, after appropriate notice and hearing, OSA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substantially equivalent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of the OSA decision to grant or deny a waiver petition may be taken in accordance with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10/27/77, Notice 8/24/77—published 11/16/77, effective 12/21/77]</w:t>
      </w:r>
    </w:p>
    <w:p>
      <w:pPr>
        <w:spacing w:before="0" w:after="0"/>
        <w:ind w:left="120"/>
        <w:jc w:val="center"/>
      </w:pPr>
      <w:r>
        <w:rPr>
          <w:rFonts w:ascii="Times New Roman" w:hAnsi="Times New Roman"/>
          <w:b w:val="false"/>
          <w:i w:val="false"/>
          <w:color w:val="000000"/>
          <w:sz w:val="21"/>
        </w:rPr>
        <w:t>[Delayed 12/13/77—published 12/28/77; delay lifted 2/14/78—published 3/8/78]</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5.2.2.pdf" Type="http://schemas.openxmlformats.org/officeDocument/2006/relationships/hyperlink" Id="rId5"/>
    <Relationship TargetMode="External" Target="https://www.legis.iowa.gov/docs/iac/rule/685.2.1.pdf" Type="http://schemas.openxmlformats.org/officeDocument/2006/relationships/hyperlink" Id="rId6"/>
    <Relationship TargetMode="External" Target="https://www.legis.iowa.gov/docs/iac/rule/685.2.2.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ac/rule/685.2.1.pdf" Type="http://schemas.openxmlformats.org/officeDocument/2006/relationships/hyperlink" Id="rId9"/>
    <Relationship TargetMode="External" Target="https://www.legis.iowa.gov/docs/ico/chapter/17A.10-18A.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7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