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OPERATING PERMITS</w:t>
      </w:r>
    </w:p>
    <w:p>
      <w:pPr>
        <w:spacing w:before="0" w:after="0"/>
        <w:ind w:left="120"/>
        <w:jc w:val="center"/>
      </w:pPr>
      <w:r>
        <w:rPr>
          <w:rFonts w:ascii="Times New Roman" w:hAnsi="Times New Roman"/>
          <w:b w:val="false"/>
          <w:i w:val="false"/>
          <w:color w:val="000000"/>
          <w:sz w:val="14"/>
        </w:rPr>
        <w:t>[Prior to IAB 5/15/24, subject appeared in Ch 22]</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210" w:after="0"/>
        <w:ind w:left="120"/>
        <w:jc w:val="both"/>
      </w:pPr>
      <w:r>
        <w:rPr>
          <w:rFonts w:ascii="Times New Roman" w:hAnsi="Times New Roman"/>
          <w:b/>
          <w:i w:val="false"/>
          <w:color w:val="000000"/>
          <w:sz w:val="22"/>
        </w:rPr>
        <w:t>567—24.1</w:t>
      </w:r>
      <w:r>
        <w:rPr>
          <w:rFonts w:ascii="Times New Roman" w:hAnsi="Times New Roman"/>
          <w:b w:val="false"/>
          <w:i w:val="false"/>
          <w:color w:val="000000"/>
          <w:sz w:val="22"/>
        </w:rPr>
        <w:t xml:space="preserve"> to </w:t>
      </w:r>
      <w:r>
        <w:rPr>
          <w:rFonts w:ascii="Times New Roman" w:hAnsi="Times New Roman"/>
          <w:b/>
          <w:i w:val="false"/>
          <w:color w:val="000000"/>
          <w:sz w:val="22"/>
        </w:rPr>
        <w:t>24.99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567—24.100</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operating permits—definitions. </w:t>
      </w:r>
      <w:r>
        <w:rPr>
          <w:rFonts w:ascii="Times New Roman" w:hAnsi="Times New Roman"/>
          <w:b w:val="false"/>
          <w:i w:val="false"/>
          <w:color w:val="000000"/>
          <w:sz w:val="22"/>
        </w:rPr>
        <w:t>For purposes of this chapter and unless otherwise stated, the following terms shall have the meaning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 xml:space="preserve">means the same as defined in </w:t>
      </w:r>
      <w:hyperlink r:id="rId5">
        <w:r>
          <w:rPr>
            <w:rStyle w:val="Hyperlink"/>
            <w:rFonts w:ascii="Times New Roman" w:hAnsi="Times New Roman"/>
            <w:b w:val="false"/>
            <w:i w:val="false"/>
            <w:color w:val="000000"/>
            <w:sz w:val="22"/>
          </w:rPr>
          <w:t>567—22.1(455B)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70” </w:t>
      </w:r>
      <w:r>
        <w:rPr>
          <w:rFonts w:ascii="Times New Roman" w:hAnsi="Times New Roman"/>
          <w:b w:val="false"/>
          <w:i w:val="false"/>
          <w:color w:val="000000"/>
          <w:sz w:val="22"/>
        </w:rPr>
        <w:t xml:space="preserve">means Part 70 or any specific section within Part 70 that is cited in this chapter, as amended through May 6, 2020, unless otherwise noted.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“40 CFR Part 72” </w:t>
      </w:r>
      <w:r>
        <w:rPr>
          <w:rFonts w:ascii="Times New Roman" w:hAnsi="Times New Roman"/>
          <w:b w:val="false"/>
          <w:i w:val="false"/>
          <w:color w:val="000000"/>
          <w:sz w:val="22"/>
        </w:rPr>
        <w:t>means Part 72 or any specific section within Part 72 that is cited in this chapter, as amended through March 28, 2011,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U.S. Clean Air Act (42 U.S.C.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emissions” </w:t>
      </w:r>
      <w:r>
        <w:rPr>
          <w:rFonts w:ascii="Times New Roman" w:hAnsi="Times New Roman"/>
          <w:b w:val="false"/>
          <w:i w:val="false"/>
          <w:color w:val="000000"/>
          <w:sz w:val="22"/>
        </w:rPr>
        <w:t>means the actual rate of emissions of a pollutant from an emissions unit, as determined in accordance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general, actual emissions as of a particular date shall equal the average rate, in tons per year, at which the unit actually emitted the pollutant during a two-year period that immediately precedes that date and that is representative of normal source operations. The director may allow the use of a different time period upon a demonstration that it is more representative of normal source operations. Actual emissions shall be calculated using the unit’s actual operating hours, production rates, and types of materials processed, stored or combusted during the selected time period. Actual emissions for acid rain-affected sources are calculated using a one-year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Lacking specific information to the contrary, the director may presume that source-specific allowable emissions for the unit are equivalent to the actual emissions of the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any emissions unit that has not begun normal operations on a particular date, actual emissions shall equal the potential to emit of the unit on that date.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purposes of calculating early reductions of hazardous air pollutants, actual emissions shall not include excess emissions resulting from a malfunction or from startups and shutdowns associated with a malfunction.</w:t>
      </w:r>
    </w:p>
    <w:p>
      <w:pPr>
        <w:spacing w:before="0" w:after="0"/>
        <w:ind w:left="120"/>
        <w:jc w:val="both"/>
      </w:pPr>
      <w:r>
        <w:rPr>
          <w:rFonts w:ascii="Times New Roman" w:hAnsi="Times New Roman"/>
          <w:b w:val="false"/>
          <w:i w:val="false"/>
          <w:color w:val="000000"/>
          <w:sz w:val="22"/>
        </w:rPr>
        <w:t>Actual emissions for purposes of determining fees shall be the actual emissions calculated over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for the United States Environmental Protection Agency (EPA)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source,”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state,” </w:t>
      </w:r>
      <w:r>
        <w:rPr>
          <w:rFonts w:ascii="Times New Roman" w:hAnsi="Times New Roman"/>
          <w:b w:val="false"/>
          <w:i w:val="false"/>
          <w:color w:val="000000"/>
          <w:sz w:val="22"/>
        </w:rPr>
        <w:t xml:space="preserve">as this definition is set forth in 40 CFR §70.2, is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emissions” </w:t>
      </w:r>
      <w:r>
        <w:rPr>
          <w:rFonts w:ascii="Times New Roman" w:hAnsi="Times New Roman"/>
          <w:b w:val="false"/>
          <w:i w:val="false"/>
          <w:color w:val="000000"/>
          <w:sz w:val="22"/>
        </w:rPr>
        <w:t>means the emission rate of a stationary source calculated using both the maximum rated capacity of the source, unless the source is subject to federally enforceable limits that restrict the operating rate or hours of operation, and the most stringent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new source performance standards or national emissions standards for hazardous air pollutants, contained in </w:t>
      </w:r>
      <w:hyperlink r:id="rId6">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applicable existing source emission standard contained in </w:t>
      </w:r>
      <w:hyperlink r:id="rId9">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emissions rate specified in the air construction permit for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as this definition is set forth in 40 CFR §72.2,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source” </w:t>
      </w:r>
      <w:r>
        <w:rPr>
          <w:rFonts w:ascii="Times New Roman" w:hAnsi="Times New Roman"/>
          <w:b w:val="false"/>
          <w:i w:val="false"/>
          <w:color w:val="000000"/>
          <w:sz w:val="22"/>
        </w:rPr>
        <w:t xml:space="preserve">means any stationary source of hazardous air pollutants that is not a major source as defined in </w:t>
      </w:r>
      <w:hyperlink r:id="rId1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with standard references in this chapter by Title and Part, so that “40 CFR 51” means “Title 40 of the Code of Federal Regulations, Part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567—subrule 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 xml:space="preserve">means a responsible natural person authorized by the owner(s) or operator(s) of an affected source and of all affected units at the source, as evidenced by a certificate of representation submitted in accordance with Subpart B of 40 CFR Part 72, to represent and legally bind each owner and operator, as a matter of federal law, in matters pertaining to the acid rain program. Whenever the term “responsible official” is used in </w:t>
      </w:r>
      <w:hyperlink r:id="rId12">
        <w:r>
          <w:rPr>
            <w:rStyle w:val="Hyperlink"/>
            <w:rFonts w:ascii="Times New Roman" w:hAnsi="Times New Roman"/>
            <w:b w:val="false"/>
            <w:i w:val="false"/>
            <w:color w:val="000000"/>
            <w:sz w:val="22"/>
          </w:rPr>
          <w:t>Chapter 24</w:t>
        </w:r>
      </w:hyperlink>
      <w:r>
        <w:rPr>
          <w:rFonts w:ascii="Times New Roman" w:hAnsi="Times New Roman"/>
          <w:b w:val="false"/>
          <w:i w:val="false"/>
          <w:color w:val="000000"/>
          <w:sz w:val="22"/>
        </w:rPr>
        <w:t>, it shall be deemed to refer to the designated representative with regard to all matters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“Draft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 xml:space="preserve">means the same as defined in </w:t>
      </w:r>
      <w:hyperlink r:id="rId1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allowable under the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unit,”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 xml:space="preserve">means the same as defined in </w:t>
      </w:r>
      <w:hyperlink r:id="rId1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hazardous air pollutant source” </w:t>
      </w:r>
      <w:r>
        <w:rPr>
          <w:rFonts w:ascii="Times New Roman" w:hAnsi="Times New Roman"/>
          <w:b w:val="false"/>
          <w:i w:val="false"/>
          <w:color w:val="000000"/>
          <w:sz w:val="22"/>
        </w:rPr>
        <w:t xml:space="preserve">means any source as defined in 40 CFR 61 as adopted by reference in </w:t>
      </w:r>
      <w:hyperlink r:id="rId16">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and 40 CFR §63.72 as adopted by reference in </w:t>
      </w:r>
      <w:hyperlink r:id="rId1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with respect to Section 112(i)(5) of the Act, the construction or reconstruction of which commenced prior to proposal of an applicable Section 112(d)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with reference to a stationary source, any apparatus that emits or may emit any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implementation plan” </w:t>
      </w:r>
      <w:r>
        <w:rPr>
          <w:rFonts w:ascii="Times New Roman" w:hAnsi="Times New Roman"/>
          <w:b w:val="false"/>
          <w:i w:val="false"/>
          <w:color w:val="000000"/>
          <w:sz w:val="22"/>
        </w:rPr>
        <w:t>means a plan promulgated by the Administrator to fill all or a portion of a gap or otherwise correct all or a portion of an inadequacy in a state implementation plan, and that includes enforceable emission limitations or other control measures, means, or techniques and provides for attainment of the relevant national ambient air quality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enforceable” </w:t>
      </w:r>
      <w:r>
        <w:rPr>
          <w:rFonts w:ascii="Times New Roman" w:hAnsi="Times New Roman"/>
          <w:b w:val="false"/>
          <w:i w:val="false"/>
          <w:color w:val="000000"/>
          <w:sz w:val="22"/>
        </w:rPr>
        <w:t xml:space="preserve">means all limitations and conditions that are enforceable by the Administrator, including but not limited to the requirements of the new source performance standards and national emission standards for hazardous air pollutants contained in </w:t>
      </w:r>
      <w:hyperlink r:id="rId18">
        <w:r>
          <w:rPr>
            <w:rStyle w:val="Hyperlink"/>
            <w:rFonts w:ascii="Times New Roman" w:hAnsi="Times New Roman"/>
            <w:b w:val="false"/>
            <w:i w:val="false"/>
            <w:color w:val="000000"/>
            <w:sz w:val="22"/>
          </w:rPr>
          <w:t>567—subrules 23.1(2)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the requirements of such other state rules or orders approved by the Administrator for inclusion in the SIP; and any construction, Title V or other federally approved operating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Title V permit” </w:t>
      </w:r>
      <w:r>
        <w:rPr>
          <w:rFonts w:ascii="Times New Roman" w:hAnsi="Times New Roman"/>
          <w:b w:val="false"/>
          <w:i w:val="false"/>
          <w:color w:val="000000"/>
          <w:sz w:val="22"/>
        </w:rPr>
        <w:t>means the version of a Title V permit issued by the department that has completed all required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are those emissions that could not reasonably pass through a stack, chimney, vent or other functionally equivalent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w:t>
      </w:r>
      <w:r>
        <w:rPr>
          <w:rFonts w:ascii="Times New Roman" w:hAnsi="Times New Roman"/>
          <w:b w:val="false"/>
          <w:i w:val="false"/>
          <w:color w:val="000000"/>
          <w:sz w:val="22"/>
        </w:rPr>
        <w:t xml:space="preserve">means any of the air pollutants listed in Section 112 of the Act and 40 CFR §63.2 as adopted by reference in </w:t>
      </w:r>
      <w:hyperlink r:id="rId2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“High-risk pollutant” </w:t>
      </w:r>
      <w:r>
        <w:rPr>
          <w:rFonts w:ascii="Times New Roman" w:hAnsi="Times New Roman"/>
          <w:b w:val="false"/>
          <w:i w:val="false"/>
          <w:color w:val="000000"/>
          <w:sz w:val="22"/>
        </w:rPr>
        <w:t xml:space="preserve">means one of the hazardous air pollutants listed in Table 1 in 40 CFR §63.74 as adopted by reference in </w:t>
      </w:r>
      <w:hyperlink r:id="rId2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w:t>
      </w:r>
      <w:r>
        <w:rPr>
          <w:rFonts w:ascii="Times New Roman" w:hAnsi="Times New Roman"/>
          <w:b w:val="false"/>
          <w:i w:val="false"/>
          <w:color w:val="000000"/>
          <w:sz w:val="22"/>
        </w:rPr>
        <w:t>means any stationary source (or any group of stationary sources located on one or more contiguous or adjacent properties and under common control of the same person or of persons under common control) belonging to a single major industrial grouping that is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major stationary source of air pollutants, as defined in Section 302 of the Act, that directly emits or has the potential to emit 100 tons per year (tpy) or more of any air pollutant subject to regulation (including any major source of fugitive emissions of any such pollutant). The fugitive emissions of a stationary source shall not be considered in determining whether it is a major stationary source for the purposes of Section 302(j) of the Act, unless the source belongs to one of the stationary source categories listed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major source of hazardous air pollutants according to Section 112 of the Act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pollutants other than radionuclides, any stationary source or group of stationary sources located within a contiguous area and under common control that emits or has the potential to emit, in the aggregate, 10 tpy or more of any hazardous air pollutant that has been listed pursuant to Section 112(b) of the Act and these rules or 25 tpy or more of any combination of such hazardous air pollutants. Notwithstanding the previous sentence, emissions from any oil or gas exploration or production well (with its associated equipment) and emission from any pipeline compressor or pump station shall not be aggregated with emissions from other similar units, whether or not such units are in a contiguous area or under common control, to determine whether such units or stations are major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Title V purposes, all fugitive emissions of hazardous air pollutants are to be considered in determining whether a stationary source is a major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radionuclides, “major source” shall have the meaning specified by the Administrator by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major stationary source as defined in Part D of Title I of the Act,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nonattainment areas, sources with the potential to emit 100 tpy or more of volatile organic compounds or oxides of nitrogen in areas classified or treated as classified as “marginal” or “moderate,” 50 tpy or more in areas classified or treated as classified as “serious,” 25 tpy or more in areas classified or treated as classified as “severe” and 10 tpy or more in areas classified or treated as classified as “extreme”; except that the references in this paragraph to 100, 50, 25, and 10 tpy of nitrogen oxides shall not apply with respect to any source for which the Administrator has made a finding, under Section 182(f)(1) or (2) of the Act, that requirements under Section 182(f) of the Act do not apply;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ozone transport regions established pursuant to Section 184 of the Act, sources with potential to emit 50 tpy or more of volatile organic compounds;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carbon monoxide nonattainment areas (1) that are classified or treated as classified as “serious” and (2) in which stationary sources contribute significantly to carbon monoxide levels, and sources with the potential to emit 50 tpy or more of carbon monoxide;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particulate matter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nonattainment areas classified or treated as classified as “serious,” sources with the potential to emit 70 tpy or more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the purposes of defining “major source,” a stationary source or group of stationary sources shall be considered part of a single industrial grouping if all of the pollutant emitting activities at such source or group of sources on contiguous or adjacent properties belong to the same major group (i.e., all have the same two-digit code) as described in the Standard Industrial Classification Manual,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“Manually operated equipment” </w:t>
      </w:r>
      <w:r>
        <w:rPr>
          <w:rFonts w:ascii="Times New Roman" w:hAnsi="Times New Roman"/>
          <w:b w:val="false"/>
          <w:i w:val="false"/>
          <w:color w:val="000000"/>
          <w:sz w:val="22"/>
        </w:rPr>
        <w:t>means a machine or tool that is handheld, such as a handheld circular saw or compressed air chisel; a machine or tool for which the work piece is held or manipulated by hand, such as a bench grinder; a machine or tool for which the tool or bit is manipulated by hand, such as a lathe or drill press; and any dust collection system that is part of such machine or tool; but not including any machine or tool for which the extent of manual operation is to control power to the machine or tool and not including any central dust collection system serving more than one machine or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existing sources” </w:t>
      </w:r>
      <w:r>
        <w:rPr>
          <w:rFonts w:ascii="Times New Roman" w:hAnsi="Times New Roman"/>
          <w:b w:val="false"/>
          <w:i w:val="false"/>
          <w:color w:val="000000"/>
          <w:sz w:val="22"/>
        </w:rPr>
        <w:t xml:space="preserve">means the definition adopted by reference in </w:t>
      </w:r>
      <w:hyperlink r:id="rId2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emission limitation for new sources” </w:t>
      </w:r>
      <w:r>
        <w:rPr>
          <w:rFonts w:ascii="Times New Roman" w:hAnsi="Times New Roman"/>
          <w:b w:val="false"/>
          <w:i w:val="false"/>
          <w:color w:val="000000"/>
          <w:sz w:val="22"/>
        </w:rPr>
        <w:t xml:space="preserve">means the definition adopted by reference in </w:t>
      </w:r>
      <w:hyperlink r:id="rId2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achievable control technology (MACT) floor” </w:t>
      </w:r>
      <w:r>
        <w:rPr>
          <w:rFonts w:ascii="Times New Roman" w:hAnsi="Times New Roman"/>
          <w:b w:val="false"/>
          <w:i w:val="false"/>
          <w:color w:val="000000"/>
          <w:sz w:val="22"/>
        </w:rPr>
        <w:t xml:space="preserve">means the definition adopted by reference in </w:t>
      </w:r>
      <w:hyperlink r:id="rId2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Title IV affected source or unit” </w:t>
      </w:r>
      <w:r>
        <w:rPr>
          <w:rFonts w:ascii="Times New Roman" w:hAnsi="Times New Roman"/>
          <w:b w:val="false"/>
          <w:i w:val="false"/>
          <w:color w:val="000000"/>
          <w:sz w:val="22"/>
        </w:rPr>
        <w:t>means a unit that commences commercial operation on or after November 15, 1990, including any such unit that serves a generator with a nameplate capacity of 25 MWe or less or that is a simple combustion turbine.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area” </w:t>
      </w:r>
      <w:r>
        <w:rPr>
          <w:rFonts w:ascii="Times New Roman" w:hAnsi="Times New Roman"/>
          <w:b w:val="false"/>
          <w:i w:val="false"/>
          <w:color w:val="000000"/>
          <w:sz w:val="22"/>
        </w:rPr>
        <w:t>means an area so designated by the Administrator, acting pursuant to Section 107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modification” </w:t>
      </w:r>
      <w:r>
        <w:rPr>
          <w:rFonts w:ascii="Times New Roman" w:hAnsi="Times New Roman"/>
          <w:b w:val="false"/>
          <w:i w:val="false"/>
          <w:color w:val="000000"/>
          <w:sz w:val="22"/>
        </w:rPr>
        <w:t xml:space="preserve">means a revision to a Title V operating permit that cannot be accomplished under the provisions for administrative permit amendments found in </w:t>
      </w:r>
      <w:hyperlink r:id="rId26">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A permit modification for purposes of the acid rain portion of the permit shall be governed by the regulations pertaining to acid rain found in </w:t>
      </w:r>
      <w:hyperlink r:id="rId27">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28">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This definition of “permit modification” shall be used solely for purposes of this chapter governing Title V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revision” </w:t>
      </w:r>
      <w:r>
        <w:rPr>
          <w:rFonts w:ascii="Times New Roman" w:hAnsi="Times New Roman"/>
          <w:b w:val="false"/>
          <w:i w:val="false"/>
          <w:color w:val="000000"/>
          <w:sz w:val="22"/>
        </w:rPr>
        <w:t>means any permit modification or administrative permit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“Permitting authority” </w:t>
      </w:r>
      <w:r>
        <w:rPr>
          <w:rFonts w:ascii="Times New Roman" w:hAnsi="Times New Roman"/>
          <w:b w:val="false"/>
          <w:i w:val="false"/>
          <w:color w:val="000000"/>
          <w:sz w:val="22"/>
        </w:rPr>
        <w:t>means the Iowa department of natural resources or the director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r>
        <w:br/>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9">
        <w:r>
          <w:rPr>
            <w:rStyle w:val="Hyperlink"/>
            <w:rFonts w:ascii="Times New Roman" w:hAnsi="Times New Roman"/>
            <w:b w:val="false"/>
            <w:i w:val="false"/>
            <w:color w:val="000000"/>
            <w:sz w:val="22"/>
          </w:rPr>
          <w:t>567—subrule 22.10(2)</w:t>
        </w:r>
      </w:hyperlink>
      <w:r>
        <w:rPr>
          <w:rFonts w:ascii="Times New Roman" w:hAnsi="Times New Roman"/>
          <w:b w:val="false"/>
          <w:i w:val="false"/>
          <w:color w:val="000000"/>
          <w:sz w:val="22"/>
        </w:rPr>
        <w:t xml:space="preserve"> shall apply.</w:t>
      </w:r>
    </w:p>
    <w:p>
      <w:pPr>
        <w:spacing w:before="0" w:after="0"/>
        <w:ind w:left="120"/>
        <w:jc w:val="both"/>
      </w:pPr>
      <w:r>
        <w:br/>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Title V permit,”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contaminant” </w:t>
      </w:r>
      <w:r>
        <w:rPr>
          <w:rFonts w:ascii="Times New Roman" w:hAnsi="Times New Roman"/>
          <w:b w:val="false"/>
          <w:i w:val="false"/>
          <w:color w:val="000000"/>
          <w:sz w:val="22"/>
        </w:rPr>
        <w:t>means the same as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Nitrogen oxides or any volatile organic compounds;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pollutant for which a national ambient air quality standard has been promulgated;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subject to any standard promulgated under Section 111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Class I or II substance subject to a standard promulgated under or established by Title VI of the Act;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pollutant subject to a standard promulgated under Section 112 or other requirements established under Section 112 of the Act, including Sections 112(g), (j), and (r) of the Act, including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subject to requirements under Section 112(j) of the Act. If the Administrator fails to promulgate a standard by the date established pursuant to Section 112(e) of the Act, any pollutant for which a subject source would be major shall be considered to be regulated on the date 18 months after the applicable date established pursuant to Section 112(e) of the Act;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pollutant for which the requirements of Section 112(g)(2) of the Act have been met, but only with respect to the individual source subject to the Section 112(g)(2) requirement.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With respect to Title V, particulate matter, except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is not considered a regulated air pollutant for the purpose of determining whether a source is considered to be a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air pollutant or contaminant (for fee calculation),” </w:t>
      </w:r>
      <w:r>
        <w:rPr>
          <w:rFonts w:ascii="Times New Roman" w:hAnsi="Times New Roman"/>
          <w:b w:val="false"/>
          <w:i w:val="false"/>
          <w:color w:val="000000"/>
          <w:sz w:val="22"/>
        </w:rPr>
        <w:t xml:space="preserve">which is used only for purposes of </w:t>
      </w:r>
      <w:hyperlink r:id="rId30">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means any regulated air pollutant or contaminant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 monoxide;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Particulate matter, excluding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a regulated air pollutant solely because it is a Class I or II substance subject to a standard promulgated under or established by Title VI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pollutant that is a regulated pollutant solely because it is subject to a standard or regulation under Section 112(r)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Greenhouse gas, as defined in </w:t>
      </w:r>
      <w:hyperlink r:id="rId3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means the process by which a permit is reissued at the end of its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official” </w:t>
      </w:r>
      <w:r>
        <w:rPr>
          <w:rFonts w:ascii="Times New Roman" w:hAnsi="Times New Roman"/>
          <w:b w:val="false"/>
          <w:i w:val="false"/>
          <w:color w:val="000000"/>
          <w:sz w:val="22"/>
        </w:rPr>
        <w:t>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corporation: a president, secretary, treasurer, or vice president of the corporation in charge of a principal business function, or any other person who performs similar policy or decision-making functions for the corporation, or a duly authorized representative of such person if the representative is responsible for the overall operation of one or more manufacturing, production, or operating facilities applying for or subject to a permit and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facilities employ more than 250 persons or have gross annual sales or expenditures exceeding $25 million (in second quarter 1980 dollars);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delegation of authority to such representative is approved in advance by the permitting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partnership or sole proprietorship: a general partner or the proprietor, respectively;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municipality, state, federal, or other public agency: either a principal executive officer or ranking elected official. For the purposes of this chapter, a principal executive officer of a federal agency includes the chief executive officer having responsibility for the overall operations of a principal geographic unit of the agency (e.g., a regional Administrator of EPA);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Title IV affected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insofar as actions, standards, requirements, or prohibitions under Title IV of the Act or the regulations promulgated thereunder are concerned;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designated representative for any other purposes under this chapter or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502(b)(10) changes,”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implementation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“SIP” </w:t>
      </w:r>
      <w:r>
        <w:rPr>
          <w:rFonts w:ascii="Times New Roman" w:hAnsi="Times New Roman"/>
          <w:b w:val="false"/>
          <w:i w:val="false"/>
          <w:color w:val="000000"/>
          <w:sz w:val="22"/>
        </w:rPr>
        <w:t>means the plan adopted by the state of Iowa and approved by the Administrator that provides for implementation, maintenance, and enforcement of such primary and secondary ambient air quality standards as are adopted by the Administrator,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regulated air pollutant or any pollutant listed under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categories” </w:t>
      </w:r>
      <w:r>
        <w:rPr>
          <w:rFonts w:ascii="Times New Roman" w:hAnsi="Times New Roman"/>
          <w:b w:val="false"/>
          <w:i w:val="false"/>
          <w:color w:val="000000"/>
          <w:sz w:val="22"/>
        </w:rPr>
        <w:t>means any of the following classes of sources: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Coal cleaning plants with thermal dryers;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Kraft pulp mills;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Portland cement plants;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Primary zinc smelters;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Iron and steel mills;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Primary aluminum ore reduction plants;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Primary copper smelters;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Municipal incinerators capable of charging more than 250 tons of refuse per day;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Hydrofluoric, sulfuric, or nitric acid plants;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Petroleum refineries;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Lime plants;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Phosphate rock processing plants;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Coke oven batteries;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Sulfur recovery plants;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Carbon black plants using the furnace process;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Primary lead smelters;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Fuel conversion plants;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Sintering plants;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Secondary metal production plants;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Chemical process plants—The term chemical processing plant shall not include ethanol production facilities that produce ethanol by natural fermentation included in North American Industry Classification System (NAICS) code 325193 or 312140;</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Fossil-fuel boilers, or combinations thereof, totaling more than 250 million Btu per hour heat input;</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Petroleum storage and transfer units with a total storage capacity exceeding 300,000 barrels;</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Taconite ore processing plants;</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Glass fiber processing plants;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Charcoal production plants;</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Fossil fuel-fired steam electric plants of more than 250 million Btu per hour heat input;</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Any other stationary source category, that as of August 7, 1980, is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to regulation,” </w:t>
      </w:r>
      <w:r>
        <w:rPr>
          <w:rFonts w:ascii="Times New Roman" w:hAnsi="Times New Roman"/>
          <w:b w:val="false"/>
          <w:i w:val="false"/>
          <w:color w:val="000000"/>
          <w:sz w:val="22"/>
        </w:rPr>
        <w:t>as this definition is set forth in 40 CFR §70.2,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permit” </w:t>
      </w:r>
      <w:r>
        <w:rPr>
          <w:rFonts w:ascii="Times New Roman" w:hAnsi="Times New Roman"/>
          <w:b w:val="false"/>
          <w:i w:val="false"/>
          <w:color w:val="000000"/>
          <w:sz w:val="22"/>
        </w:rPr>
        <w:t>means an operating permit under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of Title V operating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32">
        <w:r>
          <w:rPr>
            <w:rStyle w:val="Hyperlink"/>
            <w:rFonts w:ascii="Times New Roman" w:hAnsi="Times New Roman"/>
            <w:b w:val="false"/>
            <w:i w:val="false"/>
            <w:color w:val="000000"/>
            <w:sz w:val="22"/>
          </w:rPr>
          <w:t>567—24.102</w:t>
        </w:r>
      </w:hyperlink>
      <w:r>
        <w:rPr>
          <w:rFonts w:ascii="Times New Roman" w:hAnsi="Times New Roman"/>
          <w:b w:val="false"/>
          <w:i w:val="false"/>
          <w:color w:val="000000"/>
          <w:sz w:val="22"/>
        </w:rPr>
        <w:t xml:space="preserve">(455B), any person who owns or operates any of the following sources shall obtain a Title V operating permit and shall submit fees as required in </w:t>
      </w:r>
      <w:hyperlink r:id="rId33">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nonmajor source, subject to a standard, limitation, or other requirement under Section 111 of the Act (</w:t>
      </w:r>
      <w:hyperlink r:id="rId34">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new source performance standards; </w:t>
      </w:r>
      <w:hyperlink r:id="rId35">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 emission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source, including any area source, subject to a standard or other requirement under Section 112 of the Act (</w:t>
      </w:r>
      <w:hyperlink r:id="rId36">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emission standards for hazardous air pollutants), except that a source is not required to obtain a Title V permit solely because it is subject to regulations or requirements under Section 112(r)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solid waste incinerator unit required to obtain a Title V permit under Section 129(e)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source category designated by the Administrator pursuant to 40 CFR §70.3 as amended through December 19,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nonmajor source required to obtain a Title V operating permit pursuant to </w:t>
      </w:r>
      <w:hyperlink r:id="rId38">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is required to obtain a Title V permit only for the emissions units and related equipment causing the source to be subject to the Title V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567—24.102</w:t>
      </w:r>
      <w:r>
        <w:rPr>
          <w:rFonts w:ascii="Times New Roman" w:hAnsi="Times New Roman"/>
          <w:b/>
          <w:i w:val="false"/>
          <w:color w:val="000000"/>
          <w:sz w:val="22"/>
        </w:rPr>
        <w:t xml:space="preserve">(455B) </w:t>
      </w:r>
      <w:r>
        <w:rPr>
          <w:rFonts w:ascii="Times New Roman" w:hAnsi="Times New Roman"/>
          <w:b/>
          <w:i w:val="false"/>
          <w:color w:val="000000"/>
          <w:sz w:val="22"/>
        </w:rPr>
        <w:t xml:space="preserve">Source category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listed in </w:t>
      </w:r>
      <w:hyperlink r:id="rId39">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that are not major sources, affected sources subject to the provisions of Title IV of the Act, or solid waste incineration units required to obtain a permit pursuant to Section 129(e) of the Act are exempt from the obligation to obtain a Title V permit until such time as the Administrator completes a rulemaking to determine how the program should be structured for nonmajor sources and the appropriateness of any permanent exemptions in addition to those provided for in </w:t>
      </w:r>
      <w:hyperlink r:id="rId40">
        <w:r>
          <w:rPr>
            <w:rStyle w:val="Hyperlink"/>
            <w:rFonts w:ascii="Times New Roman" w:hAnsi="Times New Roman"/>
            <w:b w:val="false"/>
            <w:i w:val="false"/>
            <w:color w:val="000000"/>
            <w:sz w:val="22"/>
          </w:rPr>
          <w:t>24.102(3)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24.102(2)</w:t>
      </w:r>
      <w:r>
        <w:rPr>
          <w:rFonts w:ascii="Times New Roman" w:hAnsi="Times New Roman"/>
          <w:b w:val="false"/>
          <w:i w:val="false"/>
          <w:color w:val="000000"/>
          <w:sz w:val="22"/>
        </w:rPr>
        <w:t> </w:t>
      </w:r>
      <w:r>
        <w:rPr>
          <w:rFonts w:ascii="Times New Roman" w:hAnsi="Times New Roman"/>
          <w:b w:val="false"/>
          <w:i w:val="false"/>
          <w:color w:val="000000"/>
          <w:sz w:val="22"/>
        </w:rPr>
        <w:t>In the case of nonmajor sources subject to a standard or other requirement under either Section 111 or Section 112 of the Act, the Administrator will determine at the time the new or amended standard is promulgated whether to exempt any or all such applicable sources from the requirement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24.102(3)</w:t>
      </w:r>
      <w:r>
        <w:rPr>
          <w:rFonts w:ascii="Times New Roman" w:hAnsi="Times New Roman"/>
          <w:b w:val="false"/>
          <w:i w:val="false"/>
          <w:color w:val="000000"/>
          <w:sz w:val="22"/>
        </w:rPr>
        <w:t> </w:t>
      </w:r>
      <w:r>
        <w:rPr>
          <w:rFonts w:ascii="Times New Roman" w:hAnsi="Times New Roman"/>
          <w:b w:val="false"/>
          <w:i w:val="false"/>
          <w:color w:val="000000"/>
          <w:sz w:val="22"/>
        </w:rPr>
        <w:t>The following source categories are exempt from the obligation to obtain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40 CFR 60, Subpart AAA, Standards of Performance for New Residential Wood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sources and source categories that would be required to obtain a Title V permit solely because they are subject to 40 CFR 61, Subpart M, National Emission Standard for Hazardous Air Pollutants for Asbestos, Section 61.145, Standard for Demolition and Renovation, as adopted by reference in </w:t>
      </w:r>
      <w:hyperlink r:id="rId41">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sources and source categories that would be required to obtain a Title V permit solely because they are subject to any of the following subparts from 40 CFR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M, National Perchloroethylene Air Emission Standards for Dry Cleaning Facilities, as adopted by reference in </w:t>
      </w:r>
      <w:hyperlink r:id="rId42">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N, National Emission Standards for Chromium Emissions from Hard and Decorative Chromium Electroplating and Chromium Anodizing Tanks, as adopted by reference in </w:t>
      </w:r>
      <w:hyperlink r:id="rId43">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O, Ethylene Oxide Emissions Standards for Sterilization Facilities, as adopted by reference in </w:t>
      </w:r>
      <w:hyperlink r:id="rId4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T, National Emission Standards for Halogenated Solvent Cleaning, as adopted by reference in </w:t>
      </w:r>
      <w:hyperlink r:id="rId45">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RRR, National Emission Standards for Hazardous Air Pollutants for Secondary Aluminum Production, as adopted by reference in </w:t>
      </w:r>
      <w:hyperlink r:id="rId46">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Subpart VVV, National Emission Standards for Hazardous Air Pollutants: Publicly Owned Treatment Works, as adopted by reference in </w:t>
      </w:r>
      <w:hyperlink r:id="rId4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567—24.103</w:t>
      </w:r>
      <w:r>
        <w:rPr>
          <w:rFonts w:ascii="Times New Roman" w:hAnsi="Times New Roman"/>
          <w:b/>
          <w:i w:val="false"/>
          <w:color w:val="000000"/>
          <w:sz w:val="22"/>
        </w:rPr>
        <w:t xml:space="preserve">(455B) </w:t>
      </w:r>
      <w:r>
        <w:rPr>
          <w:rFonts w:ascii="Times New Roman" w:hAnsi="Times New Roman"/>
          <w:b/>
          <w:i w:val="false"/>
          <w:color w:val="000000"/>
          <w:sz w:val="22"/>
        </w:rPr>
        <w:t xml:space="preserve">Insignificant activities. </w:t>
      </w:r>
      <w:r>
        <w:rPr>
          <w:rFonts w:ascii="Times New Roman" w:hAnsi="Times New Roman"/>
          <w:b w:val="false"/>
          <w:i w:val="false"/>
          <w:color w:val="000000"/>
          <w:sz w:val="22"/>
        </w:rPr>
        <w:t xml:space="preserve">The following are insignificant activities for purposes of the Title V application if not needed to determine the applicability of or to impose any applicable requirement. Title V permit emissions fees are not required from insignificant activities pursuant to </w:t>
      </w:r>
      <w:hyperlink r:id="rId48">
        <w:r>
          <w:rPr>
            <w:rStyle w:val="Hyperlink"/>
            <w:rFonts w:ascii="Times New Roman" w:hAnsi="Times New Roman"/>
            <w:b w:val="false"/>
            <w:i w:val="false"/>
            <w:color w:val="000000"/>
            <w:sz w:val="22"/>
          </w:rPr>
          <w:t>567—paragraph 30.4(2)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24.103(1)</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excluded from Title V operating permit application. </w:t>
      </w:r>
      <w:r>
        <w:rPr>
          <w:rFonts w:ascii="Times New Roman" w:hAnsi="Times New Roman"/>
          <w:b w:val="false"/>
          <w:i w:val="false"/>
          <w:color w:val="000000"/>
          <w:sz w:val="22"/>
        </w:rPr>
        <w:t>In accordance with 40 CFR §70.5, these activities need not be included in the Title V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used for cultivating land, harvesting crops, or raising livestock. This exemption is not applicable if the equipment is used to remove substances from grain that were applied to the grain by another person. This exemption also is not applicable to equipment used by a person to manufacture commercial feed, as defined in Iowa Code section </w:t>
      </w:r>
      <w:hyperlink r:id="rId49">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when that feed is normally not fed to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Owned by that person or another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Located in a feedlot, as defined in Iowa Code section </w:t>
      </w:r>
      <w:hyperlink r:id="rId50">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in a confinement building owned or operated by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eliminates all emissions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(other than anaerobic lagoons) or control equipment that emits odors unless such equipment or control equipment also emits particulate matter or any other air pollutant or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Air conditioning or ventilating equipment not designed to remove air contaminants generated by or released from associated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 wood heaters, cookstoves, or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Recreational fireplaces.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Barbecue pits and cookers except at a meat packing plant or a prepared meat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Stacks or vents to prevent escape of sewer gases through plumbing traps for systems handling domestic sewage only.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Retail gasoline- and diesel fuel-handling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Photographic process equipment by which an image is reproduced upon material sensitized to radiant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Equipment used for hydraulic or hydrostatic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General vehicle maintenance and servicing activities at the source, other than gasoline fuel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Equipment using water, water and soap or detergent, or a suspension of abrasives in water for purposes of cleaning or finishing provided no organic solvent has been added to the water, the boiling point of the additive is not less than 100°C (212°F), and the water is not heated above 65.5°C (150°F).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Administrative activities, including but not limited to paper shredding, copying, photographic activities, and blueprinting machines. This does not include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Laundry dryers, extractors, and tumblers processing clothing, bedding, and other fabric items used at the source that have been cleaned with water solutions of bleach or detergents provided that any organic solvent present in such items before processing that is retained from cleanup operations shall be addressed as part of the volatile organic compound emissions from use of cleaning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Housekeeping activities for cleaning purposes, including collecting spilled and accumulated materials at the source, but not including use of cleaning materials that contain organic solvent.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on-site repair, maintenance or dismantlement of buildings, utility lines, pipelines, wells, excavations, earthworks and other structures that do not constitute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Storage tanks of organic liquids with a capacity of less than 500 gallons, provided the tank is not used for storage of any material listed as a hazardous air pollutant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Piping and storage systems for natural gas, propane, and liquified petroleum gas, excluding pipeline compressor stations and associated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Water treatment or storage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for potable water or boiler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including cooling towers, for process water provided that such water has not been in direct or indirect contact with process steams that contain volatile organic material or materials listed as hazardous air pollutants pursuant to Section 112(b)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Lawn care, landscape maintenance, and groundskeeping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Containers, reservoirs, or tanks used exclusively in dipping operations to coat objects with oils, waxes, or greases, provided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Cold cleaning degreasers that are not in-line cleaning machines, where the vapor pressure of the solvents used never exceeds 2 kPa (15 mmHg or 0.3 psi) measured at 38°C (100°F) or 0.7 kPa (5 mmHg or 0.1 psi) at 20°C (68°F). (Note: Cold cleaners subject to 40 CFR Part 63 Subpart T are not considered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Manually operated equipment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Use of consumer products, including hazardous substances as that term is defined in the Federal Hazardous Substances Act (15 U.S.C. 1261 et seq.), when the product is used at a source in the same manner as normal consumer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Activities directly used in the diagnosis and treatment of disease, injury or other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 xml:space="preserve">Firefighting activities and training in preparation for fighting fires conducted at the source. (Note: Written notification pursuant to </w:t>
      </w:r>
      <w:hyperlink r:id="rId51">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“g”</w:t>
      </w:r>
      <w:r>
        <w:rPr>
          <w:rFonts w:ascii="Times New Roman" w:hAnsi="Times New Roman"/>
          <w:b w:val="false"/>
          <w:i w:val="false"/>
          <w:color w:val="000000"/>
          <w:sz w:val="22"/>
        </w:rPr>
        <w:t xml:space="preserve"> is required at least ten working days before such action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Activities associated with the construction, repair, or maintenance of roads or other paved or open areas, including operation of street sweepers, vacuum trucks, spray trucks, and other vehicles related to the control of fugitive emissions of such roads or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Storage and handling of drums or other transportable containers when the containers are sealed during storage and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Individual points of emission or activities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flanges, valves, pump seals, pressure relief valves, and other individual components that have the potential for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sampling points, analyzers, and process instrumentation, whose operation may result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features of an emission unit such as each burner and sootblower in a boiler or each use of cleaning materials on a coating or printing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activities at a source solely associated with the modification or building of a facility, an emission unit, or other equipment at the source. (Note: Notwithstanding the status of this activity as insignificant, a particular activity that entails modification or construction of an emission unit or construction of air pollution control equipment may require a construction permit pursuant to </w:t>
      </w:r>
      <w:hyperlink r:id="rId5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and may subsequently require a revised Title V operating permit. A revised Title V operating permit may also be necessary for operation of an emission unit after completion of a particular activity if the existing Title V operating permit does not accommodate the new state of the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Activities at a source associated with the maintenance, repair, or dismantlement of an emission unit or other equipment installed at the source, including preparation for maintenance, repair, or dismantlement, and preparation for subsequent startup, including preparation of a shutdown vessel for entry, replacement of insulation, welding and cutting, and steam purging of a vessel prior to startup.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24.103(2)</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that must be included in Title V operating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 based on potential emissions:</w:t>
      </w:r>
    </w:p>
    <w:p>
      <w:pPr>
        <w:spacing w:before="0" w:after="0"/>
        <w:ind w:left="120"/>
        <w:jc w:val="both"/>
      </w:pPr>
      <w:r>
        <w:rPr>
          <w:rFonts w:ascii="Times New Roman" w:hAnsi="Times New Roman"/>
          <w:b w:val="false"/>
          <w:i w:val="false"/>
          <w:color w:val="000000"/>
          <w:sz w:val="22"/>
        </w:rPr>
        <w:t>An emission unit that has the potential to emit less than:</w:t>
      </w:r>
    </w:p>
    <w:p>
      <w:pPr>
        <w:spacing w:before="0" w:after="0"/>
        <w:ind w:left="120"/>
        <w:jc w:val="both"/>
      </w:pPr>
      <w:r>
        <w:rPr>
          <w:rFonts w:ascii="Times New Roman" w:hAnsi="Times New Roman"/>
          <w:b w:val="false"/>
          <w:i w:val="false"/>
          <w:color w:val="000000"/>
          <w:sz w:val="22"/>
        </w:rPr>
        <w:t>5 tons per year of any regulated air pollutant, except:</w:t>
      </w:r>
    </w:p>
    <w:p>
      <w:pPr>
        <w:spacing w:before="0" w:after="0"/>
        <w:ind w:left="120"/>
        <w:jc w:val="both"/>
      </w:pP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emission units for which initiation of construction, installation, reconstruction, or alteration (as defined in rule </w:t>
      </w:r>
      <w:hyperlink r:id="rId5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xml:space="preserve">2 lbs per year of lead or lead compounds (40 lbs per year for emission units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2,500 lbs per year of any combination of hazardous air pollutants except high-risk pollutants,</w:t>
      </w:r>
    </w:p>
    <w:p>
      <w:pPr>
        <w:spacing w:before="0" w:after="0"/>
        <w:ind w:left="120"/>
        <w:jc w:val="both"/>
      </w:pPr>
      <w:r>
        <w:rPr>
          <w:rFonts w:ascii="Times New Roman" w:hAnsi="Times New Roman"/>
          <w:b w:val="false"/>
          <w:i w:val="false"/>
          <w:color w:val="000000"/>
          <w:sz w:val="22"/>
        </w:rPr>
        <w:t>1,000 lbs per year of any individual hazardous air pollutant except high-risk pollutants,</w:t>
      </w:r>
    </w:p>
    <w:p>
      <w:pPr>
        <w:spacing w:before="0" w:after="0"/>
        <w:ind w:left="120"/>
        <w:jc w:val="both"/>
      </w:pPr>
      <w:r>
        <w:rPr>
          <w:rFonts w:ascii="Times New Roman" w:hAnsi="Times New Roman"/>
          <w:b w:val="false"/>
          <w:i w:val="false"/>
          <w:color w:val="000000"/>
          <w:sz w:val="22"/>
        </w:rPr>
        <w:t>250 lbs per year of any combination of high-risk pollutants, or</w:t>
      </w:r>
    </w:p>
    <w:p>
      <w:pPr>
        <w:spacing w:before="0" w:after="0"/>
        <w:ind w:left="120"/>
        <w:jc w:val="both"/>
      </w:pPr>
      <w:r>
        <w:rPr>
          <w:rFonts w:ascii="Times New Roman" w:hAnsi="Times New Roman"/>
          <w:b w:val="false"/>
          <w:i w:val="false"/>
          <w:color w:val="000000"/>
          <w:sz w:val="22"/>
        </w:rPr>
        <w:t>100 lbs per year of any individual high-risk pollutant.</w:t>
      </w:r>
    </w:p>
    <w:p>
      <w:pPr>
        <w:spacing w:before="0" w:after="0"/>
        <w:ind w:left="120"/>
        <w:jc w:val="both"/>
      </w:pPr>
      <w:r>
        <w:rPr>
          <w:rFonts w:ascii="Times New Roman" w:hAnsi="Times New Roman"/>
          <w:b w:val="false"/>
          <w:i w:val="false"/>
          <w:color w:val="000000"/>
          <w:sz w:val="22"/>
        </w:rPr>
        <w:t xml:space="preserve">The definition of “high-risk pollutant” is found in </w:t>
      </w:r>
      <w:hyperlink r:id="rId5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insignificant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indirect cooling units using natural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with a capacity of less than 1 million Btu per hour input per combustion unit when burning coal, untreated wood, or fuel oil.</w:t>
      </w:r>
    </w:p>
    <w:p>
      <w:pPr>
        <w:spacing w:before="0" w:after="0"/>
        <w:ind w:left="120"/>
        <w:jc w:val="both"/>
      </w:pPr>
      <w:r>
        <w:rPr>
          <w:rFonts w:ascii="Times New Roman" w:hAnsi="Times New Roman"/>
          <w:b w:val="false"/>
          <w:i w:val="false"/>
          <w:color w:val="000000"/>
          <w:sz w:val="22"/>
        </w:rPr>
        <w:t xml:space="preserve">Fuel-burning equipment for indirect heating or indirect cooling for which initiation of construction, installation, reconstruction, or alteration (as defined in </w:t>
      </w:r>
      <w:hyperlink r:id="rId5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with a capacity of less than 1 million Btu per hour input per combustion unit when burning untreated wood, untreated seeds or pellets, other untreated vegetative materials, or fuel oil provided that the equipment and the fuel meet the condition specified in </w:t>
      </w:r>
      <w:hyperlink r:id="rId58">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“b”</w:t>
      </w:r>
      <w:r>
        <w:rPr>
          <w:rFonts w:ascii="Times New Roman" w:hAnsi="Times New Roman"/>
          <w:b w:val="false"/>
          <w:i w:val="false"/>
          <w:color w:val="000000"/>
          <w:sz w:val="22"/>
        </w:rPr>
        <w:t>(2). Used oils meeting the specification from 40 CFR §279.11 as amended through July 14, 2006, are acceptable fuels.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with a rated refuse burning capacity of less than 25 pounds per hour for which initiation of construction, installation, reconstruction, or alteration (as defined in </w:t>
      </w:r>
      <w:hyperlink r:id="rId5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Incinerators for which initiation of construction, installation, reconstruction, or alteration (as defined in </w:t>
      </w:r>
      <w:hyperlink r:id="rId6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shall not qualify as an insignificant activity. After October 23, 2013, only paint clean-off ovens with a maximum rated capacity of less than 25 pounds per hour that do not combust lead-containing materials shall qualify as an insignificant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Gasoline, diesel fuel, or oil storage tanks with a capacity of 1,000 gallons or less and an annual throughput of less than 40,000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storage tank that contains no volatile organic compounds above a vapor pressure of 0.75 pounds per square inch at the normal operating temperature of the tank when other emissions from the tank do not exceed the levels in </w:t>
      </w:r>
      <w:hyperlink r:id="rId61">
        <w:r>
          <w:rPr>
            <w:rStyle w:val="Hyperlink"/>
            <w:rFonts w:ascii="Times New Roman" w:hAnsi="Times New Roman"/>
            <w:b w:val="false"/>
            <w:i w:val="false"/>
            <w:color w:val="000000"/>
            <w:sz w:val="22"/>
          </w:rPr>
          <w:t>24.103(2)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combustion engines that are used for emergency response purposes with a brake horsepower rating of less than 400 measured at the shaft. The manufacturer’s nameplate rating at full load shall be defined as the brake horsepower output at the shaft. Emergency engines that are subject to any of the following federal regulations are not considered to be insignificant activities for purposes of </w:t>
      </w:r>
      <w:hyperlink r:id="rId6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compression ignition internal combustion engines (40 CFR Part 60, Subpart IIII);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source performance standards (NSPS) for stationary spark ignition internal combustion engines (40 CFR Part 60, Subpart JJJJ);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emission standards for hazardous air pollutants (NESHAP) for reciprocating internal combustion engines (40 CFR Part 63, Subpart ZZZZ).</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567—24.104</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 to have a Title V permit. </w:t>
      </w:r>
      <w:r>
        <w:rPr>
          <w:rFonts w:ascii="Times New Roman" w:hAnsi="Times New Roman"/>
          <w:b w:val="false"/>
          <w:i w:val="false"/>
          <w:color w:val="000000"/>
          <w:sz w:val="22"/>
        </w:rPr>
        <w:t>No source may operate after the time that it is required to submit a timely and complete application, except in compliance with a properly issued Title V operating permit. However, if a source submits a timely and complete application for permit issuance (including renewal), the source’s failure to have a permit is not a violation of this chapter until the director takes final action on the permit application, except as noted in this rule. In that case, all terms and conditions of the permit shall remain in effect until the renewal permit has been issued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24.104(1)</w:t>
      </w:r>
      <w:r>
        <w:rPr>
          <w:rFonts w:ascii="Times New Roman" w:hAnsi="Times New Roman"/>
          <w:b w:val="false"/>
          <w:i w:val="false"/>
          <w:color w:val="000000"/>
          <w:sz w:val="22"/>
        </w:rPr>
        <w:t> </w:t>
      </w:r>
      <w:r>
        <w:rPr>
          <w:rFonts w:ascii="Times New Roman" w:hAnsi="Times New Roman"/>
          <w:b w:val="false"/>
          <w:i w:val="false"/>
          <w:color w:val="000000"/>
          <w:sz w:val="22"/>
        </w:rPr>
        <w:t>This protection shall cease to apply if, subsequent to the completeness determination, the applicant fails to submit, by the deadline specified in writing by the director, any additional information identified as being needed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24.104(2)</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making permit revisions pursuant to </w:t>
      </w:r>
      <w:hyperlink r:id="rId63">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shall not be in violation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567—24.105</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24.105(1)</w:t>
      </w:r>
      <w:r>
        <w:rPr>
          <w:rFonts w:ascii="Times New Roman" w:hAnsi="Times New Roman"/>
          <w:b w:val="false"/>
          <w:i w:val="false"/>
          <w:color w:val="000000"/>
          <w:sz w:val="22"/>
        </w:rPr>
        <w:t> </w:t>
      </w:r>
      <w:r>
        <w:rPr>
          <w:rFonts w:ascii="Times New Roman" w:hAnsi="Times New Roman"/>
          <w:b w:val="false"/>
          <w:i/>
          <w:color w:val="000000"/>
          <w:sz w:val="22"/>
        </w:rPr>
        <w:t xml:space="preserve">Duty to apply. </w:t>
      </w:r>
      <w:r>
        <w:rPr>
          <w:rFonts w:ascii="Times New Roman" w:hAnsi="Times New Roman"/>
          <w:b w:val="false"/>
          <w:i w:val="false"/>
          <w:color w:val="000000"/>
          <w:sz w:val="22"/>
        </w:rPr>
        <w:t xml:space="preserve">For each source required to obtain a Title V operating permit, the owner or operator or designated representative, where applicable, shall submit a complete and timely application in the electronic format specified by the department, if electronic submittal is provided. An owner or operator of a source required to obtain a Title V permit pursuant to </w:t>
      </w:r>
      <w:hyperlink r:id="rId64">
        <w:r>
          <w:rPr>
            <w:rStyle w:val="Hyperlink"/>
            <w:rFonts w:ascii="Times New Roman" w:hAnsi="Times New Roman"/>
            <w:b w:val="false"/>
            <w:i w:val="false"/>
            <w:color w:val="000000"/>
            <w:sz w:val="22"/>
          </w:rPr>
          <w:t>24.101(1)</w:t>
        </w:r>
      </w:hyperlink>
      <w:r>
        <w:rPr>
          <w:rFonts w:ascii="Times New Roman" w:hAnsi="Times New Roman"/>
          <w:b w:val="false"/>
          <w:i w:val="false"/>
          <w:color w:val="000000"/>
          <w:sz w:val="22"/>
        </w:rPr>
        <w:t xml:space="preserve"> shall submit all required fees as required in </w:t>
      </w:r>
      <w:hyperlink r:id="rId65">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Timely application. </w:t>
      </w:r>
      <w:r>
        <w:rPr>
          <w:rFonts w:ascii="Times New Roman" w:hAnsi="Times New Roman"/>
          <w:b w:val="false"/>
          <w:i w:val="false"/>
          <w:color w:val="000000"/>
          <w:sz w:val="22"/>
        </w:rPr>
        <w:t>Each owner or operator applying for a Title V permit shall submit an application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application for a new source. The owner or operator of a stationary source that commenced construction or reconstruction after April 20, 1994, or that otherwise became subject to the requirement to obtain a Title V permit after April 20, 1994, shall submit an application to the department within 12 months of becoming subject to the Title V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related to 112(g), PSD, or nonattainment. The owner or operator of a stationary source that is subject to Section 112(g) of the Act, that is subject to </w:t>
      </w:r>
      <w:hyperlink r:id="rId66">
        <w:r>
          <w:rPr>
            <w:rStyle w:val="Hyperlink"/>
            <w:rFonts w:ascii="Times New Roman" w:hAnsi="Times New Roman"/>
            <w:b w:val="false"/>
            <w:i w:val="false"/>
            <w:color w:val="000000"/>
            <w:sz w:val="22"/>
          </w:rPr>
          <w:t>567—24.4</w:t>
        </w:r>
      </w:hyperlink>
      <w:r>
        <w:rPr>
          <w:rFonts w:ascii="Times New Roman" w:hAnsi="Times New Roman"/>
          <w:b w:val="false"/>
          <w:i w:val="false"/>
          <w:color w:val="000000"/>
          <w:sz w:val="22"/>
        </w:rPr>
        <w:t xml:space="preserve">(455B) or </w:t>
      </w:r>
      <w:hyperlink r:id="rId67">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(prevention of significant deterioration (PSD)), or that is subject to </w:t>
      </w:r>
      <w:hyperlink r:id="rId68">
        <w:r>
          <w:rPr>
            <w:rStyle w:val="Hyperlink"/>
            <w:rFonts w:ascii="Times New Roman" w:hAnsi="Times New Roman"/>
            <w:b w:val="false"/>
            <w:i w:val="false"/>
            <w:color w:val="000000"/>
            <w:sz w:val="22"/>
          </w:rPr>
          <w:t>567—24.5</w:t>
        </w:r>
      </w:hyperlink>
      <w:r>
        <w:rPr>
          <w:rFonts w:ascii="Times New Roman" w:hAnsi="Times New Roman"/>
          <w:b w:val="false"/>
          <w:i w:val="false"/>
          <w:color w:val="000000"/>
          <w:sz w:val="22"/>
        </w:rPr>
        <w:t xml:space="preserve">(455B) or </w:t>
      </w:r>
      <w:hyperlink r:id="rId69">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(455B) (nonattainment area permitting) shall submit an application to the department within 12 months of commencing operation. In cases in which an existing Title V permit would prohibit such construction or change in operation, the owner or operator must obtain a Title V permit revision before commencing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application. The owner or operator of a stationary source with a Title V permit shall submit an application to the department for a permit renewal at least 6 months prior to, but not more than 18 months prior to, the date of permit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allowed without a permit revision (off-permit revision). The owner or operator of a stationary source with a Title V permit who is proposing a change that is allowed without a Title V permit revision (an off-permit revision) as specified in </w:t>
      </w:r>
      <w:hyperlink r:id="rId70">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 xml:space="preserve">(455B) shall submit to the department a written notification as specified in </w:t>
      </w:r>
      <w:hyperlink r:id="rId71">
        <w:r>
          <w:rPr>
            <w:rStyle w:val="Hyperlink"/>
            <w:rFonts w:ascii="Times New Roman" w:hAnsi="Times New Roman"/>
            <w:b w:val="false"/>
            <w:i w:val="false"/>
            <w:color w:val="000000"/>
            <w:sz w:val="22"/>
          </w:rPr>
          <w:t>567—24.110</w:t>
        </w:r>
      </w:hyperlink>
      <w:r>
        <w:rPr>
          <w:rFonts w:ascii="Times New Roman" w:hAnsi="Times New Roman"/>
          <w:b w:val="false"/>
          <w:i w:val="false"/>
          <w:color w:val="000000"/>
          <w:sz w:val="22"/>
        </w:rPr>
        <w:t>(455B) at least 30 days prior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administrative permit amendment. Prior to implementing a change that satisfies the requirements for an administrative permit amendment as set forth in </w:t>
      </w:r>
      <w:hyperlink r:id="rId72">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 xml:space="preserve">(455B), the owner or operator shall submit to the department an application for an administrative amendment as specified in </w:t>
      </w:r>
      <w:hyperlink r:id="rId7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minor permit modification. Prior to implementing a change that satisfies the requirements for a minor permit modification as set forth in </w:t>
      </w:r>
      <w:hyperlink r:id="rId74">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owner or operator shall submit to the department an application for a minor permit modification as specified in </w:t>
      </w:r>
      <w:hyperlink r:id="rId75">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significant permit modification. The owner or operator of a source that satisfies the requirements for a significant permit modification as set forth in </w:t>
      </w:r>
      <w:hyperlink r:id="rId76">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 xml:space="preserve">(455B) shall submit to the department an application for a significant permit modification as specified in </w:t>
      </w:r>
      <w:hyperlink r:id="rId77">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within three months after the commencing operation of the changed source. However, if the existing Title V permit would prohibit such construction or change in operation, the owner or operator shall not commence operation of the changed source until the department issues a revised Title V permit that allows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w:t>
      </w:r>
      <w:r>
        <w:rPr>
          <w:rFonts w:ascii="Times New Roman" w:hAnsi="Times New Roman"/>
          <w:b w:val="false"/>
          <w:i w:val="false"/>
          <w:color w:val="000000"/>
          <w:sz w:val="22"/>
        </w:rPr>
        <w:t xml:space="preserve">To be deemed complete, an application must provide all information required pursuant to </w:t>
      </w:r>
      <w:hyperlink r:id="rId78">
        <w:r>
          <w:rPr>
            <w:rStyle w:val="Hyperlink"/>
            <w:rFonts w:ascii="Times New Roman" w:hAnsi="Times New Roman"/>
            <w:b w:val="false"/>
            <w:i w:val="false"/>
            <w:color w:val="000000"/>
            <w:sz w:val="22"/>
          </w:rPr>
          <w:t>24.105(2)</w:t>
        </w:r>
      </w:hyperlink>
      <w:r>
        <w:rPr>
          <w:rFonts w:ascii="Times New Roman" w:hAnsi="Times New Roman"/>
          <w:b w:val="false"/>
          <w:i w:val="false"/>
          <w:color w:val="000000"/>
          <w:sz w:val="22"/>
        </w:rPr>
        <w:t>, except that applications for permit revision need supply such information only if it is related to the proposed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24.105(2)</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form and required information. </w:t>
      </w:r>
      <w:r>
        <w:rPr>
          <w:rFonts w:ascii="Times New Roman" w:hAnsi="Times New Roman"/>
          <w:b w:val="false"/>
          <w:i w:val="false"/>
          <w:color w:val="000000"/>
          <w:sz w:val="22"/>
        </w:rPr>
        <w:t>To apply for a Title V permit, the standard application form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information submitted must be sufficient to evaluate the source and its application and to determine all applicable requirements and to evaluate the fee amount required by </w:t>
      </w:r>
      <w:hyperlink r:id="rId79">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 xml:space="preserve">(455B). If a source is not a major source and is applying for a Title V operating permit solely because of a requirement imposed by </w:t>
      </w:r>
      <w:hyperlink r:id="rId80">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24.101(1)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then the information provided in the operating permit application may cover only the emissions units that trigger Title V applicability. The applicant shall submit the information called for by the application form for each emissions unit to be permitted, except for activities that are insignificant according to the provisions of </w:t>
      </w:r>
      <w:hyperlink r:id="rId82">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 The applicant shall provide a list of all insignificant activities and specify the basis for the determination of insignificance for each activity.</w:t>
      </w:r>
    </w:p>
    <w:p>
      <w:pPr>
        <w:spacing w:before="0" w:after="0"/>
        <w:ind w:left="120"/>
        <w:jc w:val="both"/>
      </w:pPr>
      <w:r>
        <w:rPr>
          <w:rFonts w:ascii="Times New Roman" w:hAnsi="Times New Roman"/>
          <w:b w:val="false"/>
          <w:i w:val="false"/>
          <w:color w:val="000000"/>
          <w:sz w:val="22"/>
        </w:rPr>
        <w:t xml:space="preserve">Unless otherwise specified in </w:t>
      </w:r>
      <w:hyperlink r:id="rId83">
        <w:r>
          <w:rPr>
            <w:rStyle w:val="Hyperlink"/>
            <w:rFonts w:ascii="Times New Roman" w:hAnsi="Times New Roman"/>
            <w:b w:val="false"/>
            <w:i w:val="false"/>
            <w:color w:val="000000"/>
            <w:sz w:val="22"/>
          </w:rPr>
          <w:t>24.128(4)</w:t>
        </w:r>
      </w:hyperlink>
      <w:r>
        <w:rPr>
          <w:rFonts w:ascii="Times New Roman" w:hAnsi="Times New Roman"/>
          <w:b w:val="false"/>
          <w:i w:val="false"/>
          <w:color w:val="000000"/>
          <w:sz w:val="22"/>
        </w:rPr>
        <w:t>, nationally standardized forms shall be used for the acid rain portions of permit applications and compliance plans, as required by regulations promulgated under Title IV of the Act. The standard application form and any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agent, and telephone number and names of plant site manager/contact.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source’s processes and products (by two-digit Standard Industrial Classification Code), including any associated with each alternate scenario identified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emissions-related information shall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to the extent it is needed to determine or regulate emissions: fuels, fuel use, raw materials, production rates, and operating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compliance monitoring devices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any applicable requirement (including information related to stack height limitations developed pursuant to Section 123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Calculations on which the information in </w:t>
      </w:r>
      <w:hyperlink r:id="rId84">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“c”</w:t>
      </w:r>
      <w:r>
        <w:rPr>
          <w:rFonts w:ascii="Times New Roman" w:hAnsi="Times New Roman"/>
          <w:b w:val="false"/>
          <w:i w:val="false"/>
          <w:color w:val="000000"/>
          <w:sz w:val="22"/>
        </w:rPr>
        <w:t>(1) to (5) above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application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air pollution control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Citation and description of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or reference to any applicable test method for determining compliance with each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specific information that may be necessary to implement and enforce other applicable requirements of the Act or of these rules or to determine the applicability of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explanation of any proposed exemptions from otherwise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as determined to be necessary by the director to define alternative operating scenarios identified by the source pursuant to </w:t>
      </w:r>
      <w:hyperlink r:id="rId85">
        <w:r>
          <w:rPr>
            <w:rStyle w:val="Hyperlink"/>
            <w:rFonts w:ascii="Times New Roman" w:hAnsi="Times New Roman"/>
            <w:b w:val="false"/>
            <w:i w:val="false"/>
            <w:color w:val="000000"/>
            <w:sz w:val="22"/>
          </w:rPr>
          <w:t>24.108(12)</w:t>
        </w:r>
      </w:hyperlink>
      <w:r>
        <w:rPr>
          <w:rFonts w:ascii="Times New Roman" w:hAnsi="Times New Roman"/>
          <w:b w:val="false"/>
          <w:i w:val="false"/>
          <w:color w:val="000000"/>
          <w:sz w:val="22"/>
        </w:rPr>
        <w:t xml:space="preserve"> or to define permit terms and conditions relating to operational flexibility and emissions trading pursuant to </w:t>
      </w:r>
      <w:hyperlink r:id="rId86">
        <w:r>
          <w:rPr>
            <w:rStyle w:val="Hyperlink"/>
            <w:rFonts w:ascii="Times New Roman" w:hAnsi="Times New Roman"/>
            <w:b w:val="false"/>
            <w:i w:val="false"/>
            <w:color w:val="000000"/>
            <w:sz w:val="22"/>
          </w:rPr>
          <w:t>24.108(11)</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compliance plan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compliance status of the source with respect to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statements regarding compliance status: 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For requirements for which the stationary source is not in compliance at the time of permit issuance, a narrative description of how the stationary source will achieve compliance with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compliance schedule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applicable requirements with which the stationary source is in compliance, a statement that the stationary source will continue to comply with such requirements. For applicable requirements that will become effective during the permit term, a statement that the stationary source will meet such requirements on a timely basis. A statement that the stationary source will meet in a timely manner applicable requirements that become effective during the permit term shall satisfy this provision, unless a more detailed schedule is expressly required by the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compliance schedule for sources that are not in compliance with all applicable requirements at the time of permit issuance. Such a schedule shall include a schedule of remedial measures, including an enforceable sequence of actions with milestones, leading to compliance with any applicable requirements for which the stationary source will be in noncompliance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compliance schedule shall resemble and be at least as stringent as any compliance schedule contained in any judicial consent decree or administrative order to which the source is subject. Any compliance schedule shall be supplemental to, and shall not sanction noncompliance with, the applicable requirements 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certified progress reports no less frequently than every six months for sources required to have a compliance schedule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of compliance for the prior year with all applicable requirements certified by a responsible official consistent with </w:t>
      </w:r>
      <w:hyperlink r:id="rId88">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xml:space="preserve"> and Section 114(a)(3)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methods used for determining compliance, including a description of monitoring, recordkeeping, and reporting requirements and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compliance certifications for each compliance period (one year unless required for a shorter time period by an applicable requirement) during the permit term, which shall be submitted annually, or more frequently if required by an underlying applicable requirement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source’s compliance status with any applicable enhanced monitoring and compliance certification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provisions of these rules, for the purposes of submission of compliance certifications, an owner or operator is not prohibited from using monitoring as required by </w:t>
      </w:r>
      <w:hyperlink r:id="rId89">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24.108(4)</w:t>
        </w:r>
      </w:hyperlink>
      <w:r>
        <w:rPr>
          <w:rFonts w:ascii="Times New Roman" w:hAnsi="Times New Roman"/>
          <w:b w:val="false"/>
          <w:i w:val="false"/>
          <w:color w:val="000000"/>
          <w:sz w:val="22"/>
        </w:rPr>
        <w:t xml:space="preserve">, or </w:t>
      </w:r>
      <w:hyperlink r:id="rId91">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and incorporated into a Title V operating permit in addition to any specified compliance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compliance plan content requirements specified in these rules shall apply and be included in the acid rain portion of a compliance plan for a Title IV affected source, except as specifically superseded by regulations promulgated under Title IV of the Act, with regard to the schedule and method(s) the source shall use to achieve compliance with the acid rain emissions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24.105(3)</w:t>
      </w:r>
      <w:r>
        <w:rPr>
          <w:rFonts w:ascii="Times New Roman" w:hAnsi="Times New Roman"/>
          <w:b w:val="false"/>
          <w:i w:val="false"/>
          <w:color w:val="000000"/>
          <w:sz w:val="22"/>
        </w:rPr>
        <w:t> </w:t>
      </w:r>
      <w:r>
        <w:rPr>
          <w:rFonts w:ascii="Times New Roman" w:hAnsi="Times New Roman"/>
          <w:b w:val="false"/>
          <w:i/>
          <w:color w:val="000000"/>
          <w:sz w:val="22"/>
        </w:rPr>
        <w:t xml:space="preserve">Hazardous air pollutant early reduction application. </w:t>
      </w:r>
      <w:r>
        <w:rPr>
          <w:rFonts w:ascii="Times New Roman" w:hAnsi="Times New Roman"/>
          <w:b w:val="false"/>
          <w:i w:val="false"/>
          <w:color w:val="000000"/>
          <w:sz w:val="22"/>
        </w:rPr>
        <w:t xml:space="preserve">Anyone requesting a compliance extension from a standard issued under Section 112(d) of the Act must submit with the Title V permit application information that complies with the requirements established in </w:t>
      </w:r>
      <w:hyperlink r:id="rId92">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24.105(4)</w:t>
      </w:r>
      <w:r>
        <w:rPr>
          <w:rFonts w:ascii="Times New Roman" w:hAnsi="Times New Roman"/>
          <w:b w:val="false"/>
          <w:i w:val="false"/>
          <w:color w:val="000000"/>
          <w:sz w:val="22"/>
        </w:rPr>
        <w:t> </w:t>
      </w:r>
      <w:r>
        <w:rPr>
          <w:rFonts w:ascii="Times New Roman" w:hAnsi="Times New Roman"/>
          <w:b w:val="false"/>
          <w:i/>
          <w:color w:val="000000"/>
          <w:sz w:val="22"/>
        </w:rPr>
        <w:t xml:space="preserve">Acid rain application content. </w:t>
      </w:r>
      <w:r>
        <w:rPr>
          <w:rFonts w:ascii="Times New Roman" w:hAnsi="Times New Roman"/>
          <w:b w:val="false"/>
          <w:i w:val="false"/>
          <w:color w:val="000000"/>
          <w:sz w:val="22"/>
        </w:rPr>
        <w:t xml:space="preserve">The acid rain application content shall be as prescribed in the acid rain rules found in </w:t>
      </w:r>
      <w:hyperlink r:id="rId93">
        <w:r>
          <w:rPr>
            <w:rStyle w:val="Hyperlink"/>
            <w:rFonts w:ascii="Times New Roman" w:hAnsi="Times New Roman"/>
            <w:b w:val="false"/>
            <w:i w:val="false"/>
            <w:color w:val="000000"/>
            <w:sz w:val="22"/>
          </w:rPr>
          <w:t>567—24.128</w:t>
        </w:r>
      </w:hyperlink>
      <w:r>
        <w:rPr>
          <w:rFonts w:ascii="Times New Roman" w:hAnsi="Times New Roman"/>
          <w:b w:val="false"/>
          <w:i w:val="false"/>
          <w:color w:val="000000"/>
          <w:sz w:val="22"/>
        </w:rPr>
        <w:t xml:space="preserve">(455B) and </w:t>
      </w:r>
      <w:hyperlink r:id="rId94">
        <w:r>
          <w:rPr>
            <w:rStyle w:val="Hyperlink"/>
            <w:rFonts w:ascii="Times New Roman" w:hAnsi="Times New Roman"/>
            <w:b w:val="false"/>
            <w:i w:val="false"/>
            <w:color w:val="000000"/>
            <w:sz w:val="22"/>
          </w:rPr>
          <w:t>567—24.129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24.105(5)</w:t>
      </w:r>
      <w:r>
        <w:rPr>
          <w:rFonts w:ascii="Times New Roman" w:hAnsi="Times New Roman"/>
          <w:b w:val="false"/>
          <w:i w:val="false"/>
          <w:color w:val="000000"/>
          <w:sz w:val="22"/>
        </w:rPr>
        <w:t> </w:t>
      </w:r>
      <w:r>
        <w:rPr>
          <w:rFonts w:ascii="Times New Roman" w:hAnsi="Times New Roman"/>
          <w:b w:val="false"/>
          <w:i/>
          <w:color w:val="000000"/>
          <w:sz w:val="22"/>
        </w:rPr>
        <w:t xml:space="preserve">More than one Title V operating permit for a stationary source. </w:t>
      </w:r>
      <w:r>
        <w:rPr>
          <w:rFonts w:ascii="Times New Roman" w:hAnsi="Times New Roman"/>
          <w:b w:val="false"/>
          <w:i w:val="false"/>
          <w:color w:val="000000"/>
          <w:sz w:val="22"/>
        </w:rPr>
        <w:t xml:space="preserve">Following application made pursuant to </w:t>
      </w:r>
      <w:hyperlink r:id="rId95">
        <w:r>
          <w:rPr>
            <w:rStyle w:val="Hyperlink"/>
            <w:rFonts w:ascii="Times New Roman" w:hAnsi="Times New Roman"/>
            <w:b w:val="false"/>
            <w:i w:val="false"/>
            <w:color w:val="000000"/>
            <w:sz w:val="22"/>
          </w:rPr>
          <w:t>24.105(1)</w:t>
        </w:r>
      </w:hyperlink>
      <w:r>
        <w:rPr>
          <w:rFonts w:ascii="Times New Roman" w:hAnsi="Times New Roman"/>
          <w:b w:val="false"/>
          <w:i w:val="false"/>
          <w:color w:val="000000"/>
          <w:sz w:val="22"/>
        </w:rPr>
        <w:t>, the department may, at its discretion, issue more than one Title V operating permit for a stationary source, provided that the owner or operator does not have, and does not propose to have, a sourcewide emission limit or a sourcewide alternative operating scenario.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567—24.106</w:t>
      </w:r>
      <w:r>
        <w:rPr>
          <w:rFonts w:ascii="Times New Roman" w:hAnsi="Times New Roman"/>
          <w:b/>
          <w:i w:val="false"/>
          <w:color w:val="000000"/>
          <w:sz w:val="22"/>
        </w:rPr>
        <w:t xml:space="preserve">(455B) </w:t>
      </w:r>
      <w:r>
        <w:rPr>
          <w:rFonts w:ascii="Times New Roman" w:hAnsi="Times New Roman"/>
          <w:b/>
          <w:i w:val="false"/>
          <w:color w:val="000000"/>
          <w:sz w:val="22"/>
        </w:rPr>
        <w:t xml:space="preserve">Annual Title V emissions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24.106(1)</w:t>
      </w:r>
      <w:r>
        <w:rPr>
          <w:rFonts w:ascii="Times New Roman" w:hAnsi="Times New Roman"/>
          <w:b w:val="false"/>
          <w:i w:val="false"/>
          <w:color w:val="000000"/>
          <w:sz w:val="22"/>
        </w:rPr>
        <w:t> </w:t>
      </w:r>
      <w:r>
        <w:rPr>
          <w:rFonts w:ascii="Times New Roman" w:hAnsi="Times New Roman"/>
          <w:b w:val="false"/>
          <w:i/>
          <w:color w:val="000000"/>
          <w:sz w:val="22"/>
        </w:rPr>
        <w:t xml:space="preserve">Emissions fee. </w:t>
      </w:r>
      <w:r>
        <w:rPr>
          <w:rFonts w:ascii="Times New Roman" w:hAnsi="Times New Roman"/>
          <w:b w:val="false"/>
          <w:i w:val="false"/>
          <w:color w:val="000000"/>
          <w:sz w:val="22"/>
        </w:rPr>
        <w:t xml:space="preserve">Fees shall be paid as set forth in </w:t>
      </w:r>
      <w:hyperlink r:id="rId96">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24.106(2)</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and documentation due dates. </w:t>
      </w:r>
      <w:r>
        <w:rPr>
          <w:rFonts w:ascii="Times New Roman" w:hAnsi="Times New Roman"/>
          <w:b w:val="false"/>
          <w:i w:val="false"/>
          <w:color w:val="000000"/>
          <w:sz w:val="22"/>
        </w:rPr>
        <w:t>The emissions inventory shall be submitted through the electronic format specified by the department. An owner or operator shall, by March 31, submit documentation of actual emissions for the previous calendar year. The department shall calculate the total statewide Title V emissions for the prior calendar year and make this information available to the public no later than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24.106(3)</w:t>
      </w:r>
      <w:r>
        <w:rPr>
          <w:rFonts w:ascii="Times New Roman" w:hAnsi="Times New Roman"/>
          <w:b w:val="false"/>
          <w:i w:val="false"/>
          <w:color w:val="000000"/>
          <w:sz w:val="22"/>
        </w:rPr>
        <w:t> </w:t>
      </w:r>
      <w:r>
        <w:rPr>
          <w:rFonts w:ascii="Times New Roman" w:hAnsi="Times New Roman"/>
          <w:b w:val="false"/>
          <w:i/>
          <w:color w:val="000000"/>
          <w:sz w:val="22"/>
        </w:rPr>
        <w:t xml:space="preserve">Correction of errors. </w:t>
      </w:r>
      <w:r>
        <w:rPr>
          <w:rFonts w:ascii="Times New Roman" w:hAnsi="Times New Roman"/>
          <w:b w:val="false"/>
          <w:i w:val="false"/>
          <w:color w:val="000000"/>
          <w:sz w:val="22"/>
        </w:rPr>
        <w:t>If an owner or operator, or the department, finds an error in a Title V emissions inventory, the owner or operator shall submit to the department revised forms making the necessary corrections to the Title V emissions inventory. Corrected forms shall be submitted as soon as possible after the errors are discovered or upon notification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567—24.107</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processing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w:t>
      </w:r>
      <w:r>
        <w:rPr>
          <w:rFonts w:ascii="Times New Roman" w:hAnsi="Times New Roman"/>
          <w:b w:val="false"/>
          <w:i w:val="false"/>
          <w:color w:val="000000"/>
          <w:sz w:val="22"/>
        </w:rPr>
        <w:t> </w:t>
      </w:r>
      <w:r>
        <w:rPr>
          <w:rFonts w:ascii="Times New Roman" w:hAnsi="Times New Roman"/>
          <w:b w:val="false"/>
          <w:i/>
          <w:color w:val="000000"/>
          <w:sz w:val="22"/>
        </w:rPr>
        <w:t xml:space="preserve">Action 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for action on application. </w:t>
      </w:r>
      <w:r>
        <w:rPr>
          <w:rFonts w:ascii="Times New Roman" w:hAnsi="Times New Roman"/>
          <w:b w:val="false"/>
          <w:i w:val="false"/>
          <w:color w:val="000000"/>
          <w:sz w:val="22"/>
        </w:rPr>
        <w:t>A permit, permit modification, or renewal may be issued only if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received a complete application for a permit, permit modification, or permit renewal, except that a complete application need not be received before issuance of a general permit under </w:t>
      </w:r>
      <w:hyperlink r:id="rId97">
        <w:r>
          <w:rPr>
            <w:rStyle w:val="Hyperlink"/>
            <w:rFonts w:ascii="Times New Roman" w:hAnsi="Times New Roman"/>
            <w:b w:val="false"/>
            <w:i w:val="false"/>
            <w:color w:val="000000"/>
            <w:sz w:val="22"/>
          </w:rPr>
          <w:t>567—24.109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modifications qualifying for minor permit modification procedures under </w:t>
      </w:r>
      <w:hyperlink r:id="rId98">
        <w:r>
          <w:rPr>
            <w:rStyle w:val="Hyperlink"/>
            <w:rFonts w:ascii="Times New Roman" w:hAnsi="Times New Roman"/>
            <w:b w:val="false"/>
            <w:i w:val="false"/>
            <w:color w:val="000000"/>
            <w:sz w:val="22"/>
          </w:rPr>
          <w:t>567—24.112</w:t>
        </w:r>
      </w:hyperlink>
      <w:r>
        <w:rPr>
          <w:rFonts w:ascii="Times New Roman" w:hAnsi="Times New Roman"/>
          <w:b w:val="false"/>
          <w:i w:val="false"/>
          <w:color w:val="000000"/>
          <w:sz w:val="22"/>
        </w:rPr>
        <w:t xml:space="preserve">(455B), the permitting authority has complied with the requirements for public participation under </w:t>
      </w:r>
      <w:hyperlink r:id="rId99">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has complied with the requirements for notifying and responding to affected states under </w:t>
      </w:r>
      <w:hyperlink r:id="rId10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conditions of the permit provide for compliance with all applicable requirements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received a copy of the proposed permit and any notices required under </w:t>
      </w:r>
      <w:hyperlink r:id="rId10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has not objected to issuance of the permit under </w:t>
      </w:r>
      <w:hyperlink r:id="rId10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within the time period specified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has properly objected to the permit pursuant to the provisions of 40 CFR §70.8(d) as amended to July 21, 1992, or </w:t>
      </w:r>
      <w:hyperlink r:id="rId10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then the permitting authority may issue a permit only after the Administrator’s objection has been resolved;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permit for a solid waste incineration unit combusting municipal waste subject to the provisions of Section 129(e) of the Act may be issued by an agency, instrumentality, or person that is also responsible, in whole or part, for the design and construction or operation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on application. </w:t>
      </w:r>
      <w:r>
        <w:rPr>
          <w:rFonts w:ascii="Times New Roman" w:hAnsi="Times New Roman"/>
          <w:b w:val="false"/>
          <w:i w:val="false"/>
          <w:color w:val="000000"/>
          <w:sz w:val="22"/>
        </w:rPr>
        <w:t>The permitting authority shall take final action on each complete permit application (including a request for permit modification or renewal) within 18 months of receiving a complete application,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otherwise provided under Title V or Title IV of the Act for the permitting of affected sources under the acid rain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initial permit applications, the permitting authority may take up to three years from the effective date of the program to take final action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complete permit applications containing an early reduction demonstration under Section 112(i)(5) of the Act shall be acted upon within nine months of receipt of the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Prioritization of applications. </w:t>
      </w:r>
      <w:r>
        <w:rPr>
          <w:rFonts w:ascii="Times New Roman" w:hAnsi="Times New Roman"/>
          <w:b w:val="false"/>
          <w:i w:val="false"/>
          <w:color w:val="000000"/>
          <w:sz w:val="22"/>
        </w:rPr>
        <w:t xml:space="preserve">The director shall give priority to action on Title V applications involving construction or modification for which a construction permit pursuant to </w:t>
      </w:r>
      <w:hyperlink r:id="rId104">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 xml:space="preserve"> or Title I of the Act, Parts C and D, is also required. The director also shall give priority to action on Title V applications involving early reduction of hazardous air pollutants pursuant to </w:t>
      </w:r>
      <w:hyperlink r:id="rId105">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Completeness of applications. </w:t>
      </w:r>
      <w:r>
        <w:rPr>
          <w:rFonts w:ascii="Times New Roman" w:hAnsi="Times New Roman"/>
          <w:b w:val="false"/>
          <w:i w:val="false"/>
          <w:color w:val="000000"/>
          <w:sz w:val="22"/>
        </w:rPr>
        <w:t xml:space="preserve">The department shall promptly provide notice to the applicant of whether the application is complete. Unless the permitting authority requests additional information or otherwise notifies the applicant of incompleteness within 60 days of receipt of an application, the application shall be deemed complete. If, while processing an application that has been determined to be complete, the permitting authority determines that additional information is necessary to evaluate or take final action on that application, the permitting authority may request in writing such information and set a reasonable deadline for a response. The source’s ability to operate without a permit, as set forth in </w:t>
      </w:r>
      <w:hyperlink r:id="rId106">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shall be in effect from the date the application is determined to be complete until the final permit is issued, provided that the applicant submits any requested additional information by the deadline specified by the permitting authority. For modifications processed through minor permit modification procedures, a completeness determination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to deny a permit application. </w:t>
      </w:r>
      <w:r>
        <w:rPr>
          <w:rFonts w:ascii="Times New Roman" w:hAnsi="Times New Roman"/>
          <w:b w:val="false"/>
          <w:i w:val="false"/>
          <w:color w:val="000000"/>
          <w:sz w:val="22"/>
        </w:rPr>
        <w:t xml:space="preserve">The director shall decide to issue or deny the permit. The director shall notify the applicant as soon as practicable that the application has been denied. Upon denial of the permit, the provisions of </w:t>
      </w:r>
      <w:hyperlink r:id="rId107">
        <w:r>
          <w:rPr>
            <w:rStyle w:val="Hyperlink"/>
            <w:rFonts w:ascii="Times New Roman" w:hAnsi="Times New Roman"/>
            <w:b w:val="false"/>
            <w:i w:val="false"/>
            <w:color w:val="000000"/>
            <w:sz w:val="22"/>
          </w:rPr>
          <w:t>24.107(1)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no longer be applicable. The new application shall be regarded as an entirely separate application containing all the required information and shall not depend on references to any documents contained in the previous denied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Fact sheet. </w:t>
      </w:r>
      <w:r>
        <w:rPr>
          <w:rFonts w:ascii="Times New Roman" w:hAnsi="Times New Roman"/>
          <w:b w:val="false"/>
          <w:i w:val="false"/>
          <w:color w:val="000000"/>
          <w:sz w:val="22"/>
        </w:rPr>
        <w:t>A draft permit and fact sheet shall be prepared by the permitting authority. The fact sheet shall include the rationale for issuance or denial of the permit; a brief description of the type of facility; a summary of the type and quantity of air pollutants being emitted; a brief summary of the legal and factual basis for the draft permit conditions, including references to applicable statutes and rules; a description of the procedures for reaching final decision on the draft permit, including the comment period, the address where comments will be received, and procedures for requesting a hearing and the nature of the hearing; and the name and telephone number for a person to contact for additional information. The permitting authority shall provide the fact sheet to the EPA and to any other person who requests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Relation to construction permits. </w:t>
      </w:r>
      <w:r>
        <w:rPr>
          <w:rFonts w:ascii="Times New Roman" w:hAnsi="Times New Roman"/>
          <w:b w:val="false"/>
          <w:i w:val="false"/>
          <w:color w:val="000000"/>
          <w:sz w:val="22"/>
        </w:rPr>
        <w:t xml:space="preserve">The submittal of a complete application shall not affect the requirement that any source have a construction permit under Title I of the Act and </w:t>
      </w:r>
      <w:hyperlink r:id="rId108">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If a source has submitted information with an application under a claim of confidentiality to the department, the source shall also submit a copy of such information directly to the Administrator. Requests for confidentiality must comply with </w:t>
      </w:r>
      <w:hyperlink r:id="rId109">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24.107(3)</w:t>
      </w:r>
      <w:r>
        <w:rPr>
          <w:rFonts w:ascii="Times New Roman" w:hAnsi="Times New Roman"/>
          <w:b w:val="false"/>
          <w:i w:val="false"/>
          <w:color w:val="000000"/>
          <w:sz w:val="22"/>
        </w:rPr>
        <w:t> </w:t>
      </w:r>
      <w:r>
        <w:rPr>
          <w:rFonts w:ascii="Times New Roman" w:hAnsi="Times New Roman"/>
          <w:b w:val="false"/>
          <w:i/>
          <w:color w:val="000000"/>
          <w:sz w:val="22"/>
        </w:rPr>
        <w:t xml:space="preserve">Duty to supplement or correct application. </w:t>
      </w:r>
      <w:r>
        <w:rPr>
          <w:rFonts w:ascii="Times New Roman" w:hAnsi="Times New Roman"/>
          <w:b w:val="false"/>
          <w:i w:val="false"/>
          <w:color w:val="000000"/>
          <w:sz w:val="22"/>
        </w:rPr>
        <w:t>Any applicant who fails to submit any relevant facts or who has submitted incorrect information in a permit application shall, upon becoming aware of such failure or incorrect submittal, promptly submit such supplementary facts or corrected information. In addition, an applicant shall provide additional information as necessary to address any requirements that become applicable to the source after the date the source filed a complete application but prior to release of a draft permit. Applicants who have filed a complete application shall have 60 days following notification by the department to file any amendments. Any MACT determinations in permit applications will be evaluated based on the standards, limitations, or levels of technology existing on the date the initial application is deemed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truth, accuracy, and completeness. </w:t>
      </w:r>
      <w:r>
        <w:rPr>
          <w:rFonts w:ascii="Times New Roman" w:hAnsi="Times New Roman"/>
          <w:b w:val="false"/>
          <w:i w:val="false"/>
          <w:color w:val="000000"/>
          <w:sz w:val="22"/>
        </w:rPr>
        <w:t>Any application form, report, or compliance certification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24.107(5)</w:t>
      </w:r>
      <w:r>
        <w:rPr>
          <w:rFonts w:ascii="Times New Roman" w:hAnsi="Times New Roman"/>
          <w:b w:val="false"/>
          <w:i w:val="false"/>
          <w:color w:val="000000"/>
          <w:sz w:val="22"/>
        </w:rPr>
        <w:t> </w:t>
      </w:r>
      <w:r>
        <w:rPr>
          <w:rFonts w:ascii="Times New Roman" w:hAnsi="Times New Roman"/>
          <w:b w:val="false"/>
          <w:i/>
          <w:color w:val="000000"/>
          <w:sz w:val="22"/>
        </w:rPr>
        <w:t xml:space="preserve">Early reduction application evaluation. </w:t>
      </w:r>
      <w:r>
        <w:rPr>
          <w:rFonts w:ascii="Times New Roman" w:hAnsi="Times New Roman"/>
          <w:b w:val="false"/>
          <w:i w:val="false"/>
          <w:color w:val="000000"/>
          <w:sz w:val="22"/>
        </w:rPr>
        <w:t xml:space="preserve">Hazardous air pollutant early reduction application evaluation review shall follow the procedures established in </w:t>
      </w:r>
      <w:hyperlink r:id="rId110">
        <w:r>
          <w:rPr>
            <w:rStyle w:val="Hyperlink"/>
            <w:rFonts w:ascii="Times New Roman" w:hAnsi="Times New Roman"/>
            <w:b w:val="false"/>
            <w:i w:val="false"/>
            <w:color w:val="000000"/>
            <w:sz w:val="22"/>
          </w:rPr>
          <w:t>567—paragraph 23.1(4)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24.107(6)</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permitting authority shall provide public notice and an opportunity for public comments, including an opportunity for a hearing, before taking any of the following actions: issuance, denial, or renewal of a permit; or significant modification, revocation, or reissuance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shall be given by posting of the notice, including the draft permit, for the duration of the public comment period on a public website identified by the permitting authority and designed to give general public notice. Notice also shall be given to persons on a mailing list developed by the permitting authority, including those who request in writing to be on the list. The department may use other means if necessary to ensure adequate notice to the affected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Title V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permitting authority processing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activity or activities involved in the permit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emissions change involved in any permit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air pollutants or contaminants to be 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time and place of any possible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any person may submit written and signed comments, or may request a public hearing, or both, on the proposed permit. A statement of procedures to request a public hearing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person from whom additional information may be obtained. Information entitled to confidential treatment pursuant to Section 114(c) of the Act or state law shall not be released pursuant to this provision. However, the contents of a Title V permit shall not be entitled to protection under Section 114(c)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and the proposed permit may be reviewed and the times at which they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30 days shall be provided for public comment. Notice of any public hearing shall be given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a public hearing. A request for a public hearing shall be in writing and shall state the person’s interest in the subject matter and the nature of the issues proposed to be raised at the hearing. The director shall hold a public hearing upon finding, on the basis of requests, a significant degree of relevant public interest in a draft permit. A public hearing also may be held at the director’s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shall keep a record of the commenters and of the issues raised during the public participation process and shall prepare written responses to all comments received. At the time a final decision is made, the record and copies of the director’s responses shall be made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authority shall provide notice and opportunity for participation by affected states as provided by </w:t>
      </w:r>
      <w:hyperlink r:id="rId11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24.107(7)</w:t>
      </w:r>
      <w:r>
        <w:rPr>
          <w:rFonts w:ascii="Times New Roman" w:hAnsi="Times New Roman"/>
          <w:b w:val="false"/>
          <w:i w:val="false"/>
          <w:color w:val="000000"/>
          <w:sz w:val="22"/>
        </w:rPr>
        <w:t> </w:t>
      </w:r>
      <w:r>
        <w:rPr>
          <w:rFonts w:ascii="Times New Roman" w:hAnsi="Times New Roman"/>
          <w:b w:val="false"/>
          <w:i/>
          <w:color w:val="000000"/>
          <w:sz w:val="22"/>
        </w:rPr>
        <w:t xml:space="preserve">Permit review by the EPA and affected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information to the Administrator. </w:t>
      </w:r>
      <w:r>
        <w:rPr>
          <w:rFonts w:ascii="Times New Roman" w:hAnsi="Times New Roman"/>
          <w:b w:val="false"/>
          <w:i w:val="false"/>
          <w:color w:val="000000"/>
          <w:sz w:val="22"/>
        </w:rPr>
        <w:t xml:space="preserve">Except as provided in </w:t>
      </w:r>
      <w:hyperlink r:id="rId112">
        <w:r>
          <w:rPr>
            <w:rStyle w:val="Hyperlink"/>
            <w:rFonts w:ascii="Times New Roman" w:hAnsi="Times New Roman"/>
            <w:b w:val="false"/>
            <w:i w:val="false"/>
            <w:color w:val="000000"/>
            <w:sz w:val="22"/>
          </w:rPr>
          <w:t>24.107(2)</w:t>
        </w:r>
      </w:hyperlink>
      <w:r>
        <w:rPr>
          <w:rFonts w:ascii="Times New Roman" w:hAnsi="Times New Roman"/>
          <w:b w:val="false"/>
          <w:i w:val="false"/>
          <w:color w:val="000000"/>
          <w:sz w:val="22"/>
        </w:rPr>
        <w:t xml:space="preserve"> or waived by the Administrator, the director shall make available to the Administrator each permit application or modification application, including any attachments and compliance plans; each proposed permit; and each final permit. For purposes of this subrule, the application information may be provided in a computer-readable format compatible with the Administrator’s national database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by affected states. </w:t>
      </w:r>
      <w:r>
        <w:rPr>
          <w:rFonts w:ascii="Times New Roman" w:hAnsi="Times New Roman"/>
          <w:b w:val="false"/>
          <w:i w:val="false"/>
          <w:color w:val="000000"/>
          <w:sz w:val="22"/>
        </w:rPr>
        <w:t xml:space="preserve">The director shall provide notice of each draft permit to any affected state on or before the time that public notice is provided to the public pursuant to </w:t>
      </w:r>
      <w:hyperlink r:id="rId113">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except to the extent that </w:t>
      </w:r>
      <w:hyperlink r:id="rId114">
        <w:r>
          <w:rPr>
            <w:rStyle w:val="Hyperlink"/>
            <w:rFonts w:ascii="Times New Roman" w:hAnsi="Times New Roman"/>
            <w:b w:val="false"/>
            <w:i w:val="false"/>
            <w:color w:val="000000"/>
            <w:sz w:val="22"/>
          </w:rPr>
          <w:t>24.112(3)</w:t>
        </w:r>
      </w:hyperlink>
      <w:r>
        <w:rPr>
          <w:rFonts w:ascii="Times New Roman" w:hAnsi="Times New Roman"/>
          <w:b w:val="false"/>
          <w:i w:val="false"/>
          <w:color w:val="000000"/>
          <w:sz w:val="22"/>
        </w:rPr>
        <w:t xml:space="preserve"> requires the timing of the notice to be different. If the director refuses to accept a recommendation of any affected state, submitted during the public or affected state review period, then the director shall notify the Administrator and the affected state in writing. The notification shall include the director’s reasons for not accepting the recommendation(s). The director shall not be required to accept recommendations that are not based on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EPA objection. </w:t>
      </w:r>
      <w:r>
        <w:rPr>
          <w:rFonts w:ascii="Times New Roman" w:hAnsi="Times New Roman"/>
          <w:b w:val="false"/>
          <w:i w:val="false"/>
          <w:color w:val="000000"/>
          <w:sz w:val="22"/>
        </w:rPr>
        <w:t xml:space="preserve">No permit for which an application must be transmitted to the Administrator shall be issued if the Administrator objects in writing to its issuance as not in compliance with the applicable requirements within 45 days after receiving a copy of the proposed permit and necessary supporting information under </w:t>
      </w:r>
      <w:hyperlink r:id="rId115">
        <w:r>
          <w:rPr>
            <w:rStyle w:val="Hyperlink"/>
            <w:rFonts w:ascii="Times New Roman" w:hAnsi="Times New Roman"/>
            <w:b w:val="false"/>
            <w:i w:val="false"/>
            <w:color w:val="000000"/>
            <w:sz w:val="22"/>
          </w:rPr>
          <w:t>24.107(7)</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90 days after the date of an EPA objection made pursuant to this rule, the director shall submit a response to the objection, if the objection has not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24.107(8)</w:t>
      </w:r>
      <w:r>
        <w:rPr>
          <w:rFonts w:ascii="Times New Roman" w:hAnsi="Times New Roman"/>
          <w:b w:val="false"/>
          <w:i w:val="false"/>
          <w:color w:val="000000"/>
          <w:sz w:val="22"/>
        </w:rPr>
        <w:t> </w:t>
      </w:r>
      <w:r>
        <w:rPr>
          <w:rFonts w:ascii="Times New Roman" w:hAnsi="Times New Roman"/>
          <w:b w:val="false"/>
          <w:i/>
          <w:color w:val="000000"/>
          <w:sz w:val="22"/>
        </w:rPr>
        <w:t xml:space="preserve">Public petitions to the Administrator regarding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Administrator does not object to a proposed permit, any person may petition the Administrator within 60 days after the expiration of the Administrator’s 45-day review period to make an objection pursuant to 40 CFR §70.8(d).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petitions the Administrator pursuant to the provisions of 40 CFR §70.8(d) shall notify the department by certified mail of such petition immediately, and in no case more than ten days following the date the petition is submitted to the EPA. Such notice shall include a copy of the petition submitted to the EPA and a separate written statement detailing the grounds for the objection(s) and whether the objection(s) was raised during the public comment period. A petition for review shall not stay the effectiveness of a permit or its requirements if the permit was issued after the end of the 45-day EPA review period and prior to the Administrator’s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Administrator objects to the permit as a result of a petition filed pursuant to 40 CFR §70.8(d), then the director shall not issue a permit until the Administrator’s objection has been resolved. However, if the director has issued a permit prior to receipt of the Administrator’s objection, and the Administrator modifies, terminates, or revokes such permit, consistent with the procedures in 40 CFR §70.7, then the director may thereafter issue only a revised permit that satisfies the Administrator’s objection. In any case, the source shall not be in violation of the requirement to have submitted a timely and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24.107(9)</w:t>
      </w:r>
      <w:r>
        <w:rPr>
          <w:rFonts w:ascii="Times New Roman" w:hAnsi="Times New Roman"/>
          <w:b w:val="false"/>
          <w:i w:val="false"/>
          <w:color w:val="000000"/>
          <w:sz w:val="22"/>
        </w:rPr>
        <w:t> </w:t>
      </w:r>
      <w:r>
        <w:rPr>
          <w:rFonts w:ascii="Times New Roman" w:hAnsi="Times New Roman"/>
          <w:b w:val="false"/>
          <w:i/>
          <w:color w:val="000000"/>
          <w:sz w:val="22"/>
        </w:rPr>
        <w:t xml:space="preserve">Application denial. </w:t>
      </w:r>
      <w:r>
        <w:rPr>
          <w:rFonts w:ascii="Times New Roman" w:hAnsi="Times New Roman"/>
          <w:b w:val="false"/>
          <w:i w:val="false"/>
          <w:color w:val="000000"/>
          <w:sz w:val="22"/>
        </w:rPr>
        <w:t>A Title V permit application may be denied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finds that a source is not in compliance with any applicable requirement;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knowingly submits false information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24.107(10)</w:t>
      </w:r>
      <w:r>
        <w:rPr>
          <w:rFonts w:ascii="Times New Roman" w:hAnsi="Times New Roman"/>
          <w:b w:val="false"/>
          <w:i w:val="false"/>
          <w:color w:val="000000"/>
          <w:sz w:val="22"/>
        </w:rPr>
        <w:t> </w:t>
      </w:r>
      <w:r>
        <w:rPr>
          <w:rFonts w:ascii="Times New Roman" w:hAnsi="Times New Roman"/>
          <w:b w:val="false"/>
          <w:i/>
          <w:color w:val="000000"/>
          <w:sz w:val="22"/>
        </w:rPr>
        <w:t xml:space="preserve">Retention of permit records. </w:t>
      </w:r>
      <w:r>
        <w:rPr>
          <w:rFonts w:ascii="Times New Roman" w:hAnsi="Times New Roman"/>
          <w:b w:val="false"/>
          <w:i w:val="false"/>
          <w:color w:val="000000"/>
          <w:sz w:val="22"/>
        </w:rPr>
        <w:t>The director shall keep all records associated with each permit for a minimum of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content. </w:t>
      </w:r>
      <w:r>
        <w:rPr>
          <w:rFonts w:ascii="Times New Roman" w:hAnsi="Times New Roman"/>
          <w:b w:val="false"/>
          <w:i w:val="false"/>
          <w:color w:val="000000"/>
          <w:sz w:val="22"/>
        </w:rPr>
        <w:t>Each Title V permit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w:t>
      </w:r>
      <w:r>
        <w:rPr>
          <w:rFonts w:ascii="Times New Roman" w:hAnsi="Times New Roman"/>
          <w:b w:val="false"/>
          <w:i w:val="false"/>
          <w:color w:val="000000"/>
          <w:sz w:val="22"/>
        </w:rPr>
        <w:t> </w:t>
      </w:r>
      <w:r>
        <w:rPr>
          <w:rFonts w:ascii="Times New Roman" w:hAnsi="Times New Roman"/>
          <w:b w:val="false"/>
          <w:i w:val="false"/>
          <w:color w:val="000000"/>
          <w:sz w:val="22"/>
        </w:rPr>
        <w:t>Enforceable emission limitations and standards. Each permit issued pursuant to this chapter shall include emissions limitations and standards, including those operational requirements and limitations that ensure compliance with all applicable requirements at the time of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shall specify and reference the origin of and authority for each term or condition and identify any difference in form as compared to the applicable requirement upon which the term or condition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shall state that, where an applicable requirement of the Act is more stringent than an applicable requirement of regulations promulgated under Title IV of the Act, both provisions shall be incorporated into the permit and shall be enforceable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applicable implementation plan allows a determination of an alternative emission limit at a Title V source, equivalent to that contained in the plan, to be made in the permit issuance, renewal, or significant modification process, and the state elects to use such process, then any permit containing such equivalency determination shall contain provisions to ensure that any resulting emissions limit has been demonstrated to be quantifiable, accountable, enforceable, and based on replicable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early reduction demonstration is approved as part of the Title V permit application, the permit shall include enforceable alternative emissions limitations for the source reflecting the reduction that qualified the source for the compliance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Fugitive emissions from a source shall be included in the permit in the same manner as stack emissions, regardless of whether the source category in question is included in the list of sources contained in the definition of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major sources, all applicable requirements for all relevant emissions units in the major source shall be included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24.108(2)</w:t>
      </w:r>
      <w:r>
        <w:rPr>
          <w:rFonts w:ascii="Times New Roman" w:hAnsi="Times New Roman"/>
          <w:b w:val="false"/>
          <w:i w:val="false"/>
          <w:color w:val="000000"/>
          <w:sz w:val="22"/>
        </w:rPr>
        <w:t> </w:t>
      </w:r>
      <w:r>
        <w:rPr>
          <w:rFonts w:ascii="Times New Roman" w:hAnsi="Times New Roman"/>
          <w:b w:val="false"/>
          <w:i w:val="false"/>
          <w:color w:val="000000"/>
          <w:sz w:val="22"/>
        </w:rPr>
        <w:t>Permit duration. The permit shall specify a fixed term not to exceed five years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issued to Title IV affected sources shall have a fixed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 issued to solid waste incineration units combusting municipal waste subject to standards under Section 129(e) of the Act shall have a term not to exceed 12 years. Such permits shall be reviewed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24.108(3)</w:t>
      </w:r>
      <w:r>
        <w:rPr>
          <w:rFonts w:ascii="Times New Roman" w:hAnsi="Times New Roman"/>
          <w:b w:val="false"/>
          <w:i w:val="false"/>
          <w:color w:val="000000"/>
          <w:sz w:val="22"/>
        </w:rPr>
        <w:t> </w:t>
      </w:r>
      <w:r>
        <w:rPr>
          <w:rFonts w:ascii="Times New Roman" w:hAnsi="Times New Roman"/>
          <w:b w:val="false"/>
          <w:i w:val="false"/>
          <w:color w:val="000000"/>
          <w:sz w:val="22"/>
        </w:rPr>
        <w:t>Monitoring. Each permit shall contain the following requirements with respect to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emissions monitoring and analysis procedures or test methods required under the applicable requirements, including any procedures and methods promulgated pursuant to Section 114(a)(3) or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applicable requirement does not require periodic testing or instrumental or noninstrumental monitoring (which may consist of recordkeeping designed to serve as monitoring), periodic monitoring sufficient to yield reliable data from the relevant time period that are representative of the source’s compliance with the permit, as reported pursuant to </w:t>
      </w:r>
      <w:hyperlink r:id="rId116">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Such monitoring shall be determined by application of the “Periodic Monitoring Guidance” (as amended through October 24, 2012)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necessary, requirements concerning the use, maintenance, and, where appropriate, installation of monitoring equipment or methods;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required, Compliance Assurance Monitoring (CAM) consistent with 40 CFR Part 64 (as amended through October 22,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24.108(4)</w:t>
      </w:r>
      <w:r>
        <w:rPr>
          <w:rFonts w:ascii="Times New Roman" w:hAnsi="Times New Roman"/>
          <w:b w:val="false"/>
          <w:i w:val="false"/>
          <w:color w:val="000000"/>
          <w:sz w:val="22"/>
        </w:rPr>
        <w:t> </w:t>
      </w:r>
      <w:r>
        <w:rPr>
          <w:rFonts w:ascii="Times New Roman" w:hAnsi="Times New Roman"/>
          <w:b w:val="false"/>
          <w:i w:val="false"/>
          <w:color w:val="000000"/>
          <w:sz w:val="22"/>
        </w:rPr>
        <w:t>Recordkeeping. With respect to recordkeeping, the permit shall incorporate all applicable recordkeeping requirements and require, where applicable,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required monitoring information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place as defined in the permit, and time of sampling or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the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company or entity that performed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analytical techniques or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results of such analyses;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operating conditions as existing at the time of sampling or measurement;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Retention of records of all required monitoring data and support information for a period of at least five years from the date of the monitoring sample, measurement, report, or application. Support information includes all calibration and maintenance records and all original strip-chart and other recordings for continuous monitoring instrumentation, and copies of all reports required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24.108(5)</w:t>
      </w:r>
      <w:r>
        <w:rPr>
          <w:rFonts w:ascii="Times New Roman" w:hAnsi="Times New Roman"/>
          <w:b w:val="false"/>
          <w:i w:val="false"/>
          <w:color w:val="000000"/>
          <w:sz w:val="22"/>
        </w:rPr>
        <w:t> </w:t>
      </w:r>
      <w:r>
        <w:rPr>
          <w:rFonts w:ascii="Times New Roman" w:hAnsi="Times New Roman"/>
          <w:b w:val="false"/>
          <w:i w:val="false"/>
          <w:color w:val="000000"/>
          <w:sz w:val="22"/>
        </w:rPr>
        <w:t>Reporting. With respect to reporting, the permit shall incorporate all applicable reporting requirements and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reports of any required monitoring at least every six months. All instances of deviations from permit requirements must be clearly identified in such reports. All required reports must be certified by a responsible official consistent with </w:t>
      </w:r>
      <w:hyperlink r:id="rId117">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 reporting of deviations from permit requirements, including those attributable to upset conditions as defined in the permit, the probable cause of such deviations, and any corrective actions or preventive measures taken. The director shall define “prompt” in relation to the degree and type of deviation likely to occur and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24.108(6)</w:t>
      </w:r>
      <w:r>
        <w:rPr>
          <w:rFonts w:ascii="Times New Roman" w:hAnsi="Times New Roman"/>
          <w:b w:val="false"/>
          <w:i w:val="false"/>
          <w:color w:val="000000"/>
          <w:sz w:val="22"/>
        </w:rPr>
        <w:t> </w:t>
      </w:r>
      <w:r>
        <w:rPr>
          <w:rFonts w:ascii="Times New Roman" w:hAnsi="Times New Roman"/>
          <w:b w:val="false"/>
          <w:i w:val="false"/>
          <w:color w:val="000000"/>
          <w:sz w:val="22"/>
        </w:rPr>
        <w:t>Risk management plan. Pursuant to Section 112(r)(7)(E) of the Act, if the source is required to develop and register a risk management plan pursuant to Section 112(r) of the Act, the permit shall state the requirement for submission of the plan to the air quality bureau of the department. The permit shall also require filing the plan with appropriate authorities and an annual certification to the department that the plan is being properly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24.108(7)</w:t>
      </w:r>
      <w:r>
        <w:rPr>
          <w:rFonts w:ascii="Times New Roman" w:hAnsi="Times New Roman"/>
          <w:b w:val="false"/>
          <w:i w:val="false"/>
          <w:color w:val="000000"/>
          <w:sz w:val="22"/>
        </w:rPr>
        <w:t> </w:t>
      </w:r>
      <w:r>
        <w:rPr>
          <w:rFonts w:ascii="Times New Roman" w:hAnsi="Times New Roman"/>
          <w:b w:val="false"/>
          <w:i w:val="false"/>
          <w:color w:val="000000"/>
          <w:sz w:val="22"/>
        </w:rPr>
        <w:t>A permit condition prohibiting emissions exceeding any allowances that the affected source lawfully holds under Title IV of the Act or the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permit revision shall be required for increases in emissions that are authorized by allowances acquired pursuant to the acid rain program, provided that such increases do not require a permit revision under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limit shall be placed on the number of allowances held by the Title IV affected source. The Title IV-affected source may not, however, use allowances as a defense to noncompliance with any other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such allowances shall be accounted for according to the procedures established in regulations promulgated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permit issued pursuant to the requirements of these rules and Title V of the Act to a unit subject to the provisions of Title IV of the Act shall include conditions prohibiting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emissions of sulfur dioxide in excess of the number of allowances to emit sulfur dioxide held by the owners or operators of the unit or the designated representative of the owners 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Exceedances of applicable emission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any allowance prior to the year for which it was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Contravention of any other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24.108(8)</w:t>
      </w:r>
      <w:r>
        <w:rPr>
          <w:rFonts w:ascii="Times New Roman" w:hAnsi="Times New Roman"/>
          <w:b w:val="false"/>
          <w:i w:val="false"/>
          <w:color w:val="000000"/>
          <w:sz w:val="22"/>
        </w:rPr>
        <w:t> </w:t>
      </w:r>
      <w:r>
        <w:rPr>
          <w:rFonts w:ascii="Times New Roman" w:hAnsi="Times New Roman"/>
          <w:b w:val="false"/>
          <w:i w:val="false"/>
          <w:color w:val="000000"/>
          <w:sz w:val="22"/>
        </w:rPr>
        <w:t>Severability clause. The permit shall contain a severability clause to ensure the continued validity of the various permit requirements in the event of a challenge to any portions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24.108(9)</w:t>
      </w:r>
      <w:r>
        <w:rPr>
          <w:rFonts w:ascii="Times New Roman" w:hAnsi="Times New Roman"/>
          <w:b w:val="false"/>
          <w:i w:val="false"/>
          <w:color w:val="000000"/>
          <w:sz w:val="22"/>
        </w:rPr>
        <w:t> </w:t>
      </w:r>
      <w:r>
        <w:rPr>
          <w:rFonts w:ascii="Times New Roman" w:hAnsi="Times New Roman"/>
          <w:b w:val="false"/>
          <w:i w:val="false"/>
          <w:color w:val="000000"/>
          <w:sz w:val="22"/>
        </w:rPr>
        <w:t>Other provisions. The Title V permit shall contain provisions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permittee must comply with all conditions of the Title V permit. Any permit noncompliance constitutes a violation of the Act and is grounds for enforcement action; for a permit termination, revocation and reissuance, or modification; or for denial of a permit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 to halt or reduce activity not a defense. It shall not be a defense for a permittee in an enforcement action that it would have been necessary to halt or reduce the permitted activity in order to maintain compliance with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may be modified; revoked, reopened, and reissued; or terminated for cause. The filing of a request by the permittee for a permit modification, revocation and reissuance, or termination, or of a notification of planned changes or anticipated noncompliance, does not stay any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does not convey any property rights of any sort, or any exclusive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shall furnish to the director, within a reasonable time, any information that the director may request in writing to determine whether cause exists for modifying, revoking and reissuing, or terminating the permit or to determine compliance with the permit. Upon request, the permittee also shall furnish to the director copies of records required to be kept by the permit or, for information claimed to be confidential, the permittee shall furnish such records directly to the Administrator of the EPA along with a claim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24.108(10)</w:t>
      </w:r>
      <w:r>
        <w:rPr>
          <w:rFonts w:ascii="Times New Roman" w:hAnsi="Times New Roman"/>
          <w:b w:val="false"/>
          <w:i w:val="false"/>
          <w:color w:val="000000"/>
          <w:sz w:val="22"/>
        </w:rPr>
        <w:t> </w:t>
      </w:r>
      <w:r>
        <w:rPr>
          <w:rFonts w:ascii="Times New Roman" w:hAnsi="Times New Roman"/>
          <w:b w:val="false"/>
          <w:i w:val="false"/>
          <w:color w:val="000000"/>
          <w:sz w:val="22"/>
        </w:rPr>
        <w:t xml:space="preserve">Fees. The permit shall include a provision to ensure that the Title V permittee pays fees to the director pursuant to </w:t>
      </w:r>
      <w:hyperlink r:id="rId118">
        <w:r>
          <w:rPr>
            <w:rStyle w:val="Hyperlink"/>
            <w:rFonts w:ascii="Times New Roman" w:hAnsi="Times New Roman"/>
            <w:b w:val="false"/>
            <w:i w:val="false"/>
            <w:color w:val="000000"/>
            <w:sz w:val="22"/>
          </w:rPr>
          <w:t>567—30.4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24.108(11)</w:t>
      </w:r>
      <w:r>
        <w:rPr>
          <w:rFonts w:ascii="Times New Roman" w:hAnsi="Times New Roman"/>
          <w:b w:val="false"/>
          <w:i w:val="false"/>
          <w:color w:val="000000"/>
          <w:sz w:val="22"/>
        </w:rPr>
        <w:t> </w:t>
      </w:r>
      <w:r>
        <w:rPr>
          <w:rFonts w:ascii="Times New Roman" w:hAnsi="Times New Roman"/>
          <w:b w:val="false"/>
          <w:i w:val="false"/>
          <w:color w:val="000000"/>
          <w:sz w:val="22"/>
        </w:rPr>
        <w:t>Emissions trading. A provision of the permit shall state that no permit revision shall be required, under any approved economic incentives, marketable permits, emissions trading and other similar programs or processes for changes that are provided for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24.108(12)</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reasonably anticipated operating scenarios identified by the source in its application and as approved by the director.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require the source, contemporaneously with making a change from one operating scenario to another, to record in a log at the permitted facility a record of the scenario under which it is operating;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ensure that the terms and conditions of each such alternative scenario meet all applicable requirements and the requirements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24.108(13)</w:t>
      </w:r>
      <w:r>
        <w:rPr>
          <w:rFonts w:ascii="Times New Roman" w:hAnsi="Times New Roman"/>
          <w:b w:val="false"/>
          <w:i w:val="false"/>
          <w:color w:val="000000"/>
          <w:sz w:val="22"/>
        </w:rPr>
        <w:t> </w:t>
      </w:r>
      <w:r>
        <w:rPr>
          <w:rFonts w:ascii="Times New Roman" w:hAnsi="Times New Roman"/>
          <w:b w:val="false"/>
          <w:i w:val="false"/>
          <w:color w:val="000000"/>
          <w:sz w:val="22"/>
        </w:rPr>
        <w:t>Terms and conditions, if the permit applicant requests them, for the trading of emissions increases and decreases in the permitted facility, to the extent that the applicable requirements provide for trading such increases and decreases without a case-by-case approval of each emissions trade. Such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include all terms required under </w:t>
      </w:r>
      <w:hyperlink r:id="rId119">
        <w:r>
          <w:rPr>
            <w:rStyle w:val="Hyperlink"/>
            <w:rFonts w:ascii="Times New Roman" w:hAnsi="Times New Roman"/>
            <w:b w:val="false"/>
            <w:i w:val="false"/>
            <w:color w:val="000000"/>
            <w:sz w:val="22"/>
          </w:rPr>
          <w:t>24.108(1)</w:t>
        </w:r>
      </w:hyperlink>
      <w:r>
        <w:rPr>
          <w:rFonts w:ascii="Times New Roman" w:hAnsi="Times New Roman"/>
          <w:b w:val="false"/>
          <w:i w:val="false"/>
          <w:color w:val="000000"/>
          <w:sz w:val="22"/>
        </w:rPr>
        <w:t xml:space="preserve"> to </w:t>
      </w:r>
      <w:hyperlink r:id="rId120">
        <w:r>
          <w:rPr>
            <w:rStyle w:val="Hyperlink"/>
            <w:rFonts w:ascii="Times New Roman" w:hAnsi="Times New Roman"/>
            <w:b w:val="false"/>
            <w:i w:val="false"/>
            <w:color w:val="000000"/>
            <w:sz w:val="22"/>
          </w:rPr>
          <w:t>24.108(13)</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24.108(15)</w:t>
        </w:r>
      </w:hyperlink>
      <w:r>
        <w:rPr>
          <w:rFonts w:ascii="Times New Roman" w:hAnsi="Times New Roman"/>
          <w:b w:val="false"/>
          <w:i w:val="false"/>
          <w:color w:val="000000"/>
          <w:sz w:val="22"/>
        </w:rPr>
        <w:t xml:space="preserve">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meet all applicable requirements of the Act and regulations promulgated thereunder and all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extend the permit shield described in </w:t>
      </w:r>
      <w:hyperlink r:id="rId122">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to all terms and conditions that allow such increases and decreases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24.108(14)</w:t>
      </w:r>
      <w:r>
        <w:rPr>
          <w:rFonts w:ascii="Times New Roman" w:hAnsi="Times New Roman"/>
          <w:b w:val="false"/>
          <w:i w:val="false"/>
          <w:color w:val="000000"/>
          <w:sz w:val="22"/>
        </w:rPr>
        <w:t> </w:t>
      </w:r>
      <w:r>
        <w:rPr>
          <w:rFonts w:ascii="Times New Roman" w:hAnsi="Times New Roman"/>
          <w:b w:val="false"/>
          <w:i w:val="false"/>
          <w:color w:val="000000"/>
          <w:sz w:val="22"/>
        </w:rPr>
        <w:t>Federally enforceable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in a Title V permit, including any provisions designed to limit a source’s potential to emit, are enforceable by the Administrator and citizens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23">
        <w:r>
          <w:rPr>
            <w:rStyle w:val="Hyperlink"/>
            <w:rFonts w:ascii="Times New Roman" w:hAnsi="Times New Roman"/>
            <w:b w:val="false"/>
            <w:i w:val="false"/>
            <w:color w:val="000000"/>
            <w:sz w:val="22"/>
          </w:rPr>
          <w:t>24.108(14)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shall specifically designate as not being federally enforceable under the Act any terms and conditions included in the permit that are not required under the Act or under any of its applicable requirements. Terms and conditions so designated are not subject to the requirements of 40 CFR §70.7 or §70.8.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24.108(15)</w:t>
      </w:r>
      <w:r>
        <w:rPr>
          <w:rFonts w:ascii="Times New Roman" w:hAnsi="Times New Roman"/>
          <w:b w:val="false"/>
          <w:i w:val="false"/>
          <w:color w:val="000000"/>
          <w:sz w:val="22"/>
        </w:rPr>
        <w:t> </w:t>
      </w:r>
      <w:r>
        <w:rPr>
          <w:rFonts w:ascii="Times New Roman" w:hAnsi="Times New Roman"/>
          <w:b w:val="false"/>
          <w:i w:val="false"/>
          <w:color w:val="000000"/>
          <w:sz w:val="22"/>
        </w:rPr>
        <w:t>Compliance requirements. All Title V permits shall contain the following elements with respect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of </w:t>
      </w:r>
      <w:hyperlink r:id="rId124">
        <w:r>
          <w:rPr>
            <w:rStyle w:val="Hyperlink"/>
            <w:rFonts w:ascii="Times New Roman" w:hAnsi="Times New Roman"/>
            <w:b w:val="false"/>
            <w:i w:val="false"/>
            <w:color w:val="000000"/>
            <w:sz w:val="22"/>
          </w:rPr>
          <w:t>24.108(3)</w:t>
        </w:r>
      </w:hyperlink>
      <w:r>
        <w:rPr>
          <w:rFonts w:ascii="Times New Roman" w:hAnsi="Times New Roman"/>
          <w:b w:val="false"/>
          <w:i w:val="false"/>
          <w:color w:val="000000"/>
          <w:sz w:val="22"/>
        </w:rPr>
        <w:t xml:space="preserve"> to </w:t>
      </w:r>
      <w:hyperlink r:id="rId125">
        <w:r>
          <w:rPr>
            <w:rStyle w:val="Hyperlink"/>
            <w:rFonts w:ascii="Times New Roman" w:hAnsi="Times New Roman"/>
            <w:b w:val="false"/>
            <w:i w:val="false"/>
            <w:color w:val="000000"/>
            <w:sz w:val="22"/>
          </w:rPr>
          <w:t>24.108(5)</w:t>
        </w:r>
      </w:hyperlink>
      <w:r>
        <w:rPr>
          <w:rFonts w:ascii="Times New Roman" w:hAnsi="Times New Roman"/>
          <w:b w:val="false"/>
          <w:i w:val="false"/>
          <w:color w:val="000000"/>
          <w:sz w:val="22"/>
        </w:rPr>
        <w:t xml:space="preserve">, compliance certification, testing, monitoring, reporting, and recordkeeping requirements sufficient to ensure compliance with the terms and conditions of the permit. Any documents, including reports, required by a permit shall contain a certification by a responsible official that meets the requirements of </w:t>
      </w:r>
      <w:hyperlink r:id="rId126">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and entry provisions that require that, upon presentation of proper credentials, the permittee shall allow the director or the director’s authorized representative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Enter upon the permittee’s premises where a Title V source is located or emissions-related activity is conducted, or where records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and copy, at reasonable times, any records that must be kept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 at reasonable times, any facilities, equipment (including monitoring and air pollution control equipment), practices, or operations regulated or required under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Sample or monitor, at reasonable times, substances or parameters for the purpose of ensuring compliance with the permit or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compliance consistent with </w:t>
      </w:r>
      <w:hyperlink r:id="rId127">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hyperlink r:id="rId128">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24.105(3)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reports, consistent with an applicable schedule of compliance and with the provisions of </w:t>
      </w:r>
      <w:hyperlink r:id="rId130">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24.105(2)</w:t>
        </w:r>
      </w:hyperlink>
      <w:r>
        <w:rPr>
          <w:rFonts w:ascii="Times New Roman" w:hAnsi="Times New Roman"/>
          <w:b w:val="false"/>
          <w:i/>
          <w:color w:val="000000"/>
          <w:sz w:val="22"/>
        </w:rPr>
        <w:t>“j,”</w:t>
      </w:r>
      <w:r>
        <w:rPr>
          <w:rFonts w:ascii="Times New Roman" w:hAnsi="Times New Roman"/>
          <w:b w:val="false"/>
          <w:i w:val="false"/>
          <w:color w:val="000000"/>
          <w:sz w:val="22"/>
        </w:rPr>
        <w:t xml:space="preserve"> to be submitted at least every six months, or more frequently if specified in the applicable requirement or by the department in the permit. Such progress reports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for achieving the activities, milestones, or compliance required in the schedule of compliance, and dates when such activities, milestones, or compliance were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why any dates in the schedule of compliance were not or will not be met, and any preventive or corrective measures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Requirements for compliance certification with terms and conditions contained in the permit, including emission limitations, standards, or work practices. Permits shall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frequency of submissions of compliance certifications, which shall not be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means to monitor the compliance of the source with its emissions limitations, standards, and work practices, in accordance with the provisions of all applicable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compliance certification include: the identification of each term or condition of the permit that is the basis of the certification; the compliance status; whether compliance was continuous or intermittent; the method(s) used for determining the compliance status of the source, currently and over the reporting period consistent with all applicable department rules; and other facts as the director may require to determine the compliance status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requirement that all compliance certifications be submitted to the Administrator and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the director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additional provisions as may be specified pursuant to Sections 114(a)(3) and 504(b)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there is a federal implementation plan applicable to the source, a provision that compliance with the federal implementation plan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24.108(16)</w:t>
      </w:r>
      <w:r>
        <w:rPr>
          <w:rFonts w:ascii="Times New Roman" w:hAnsi="Times New Roman"/>
          <w:b w:val="false"/>
          <w:i w:val="false"/>
          <w:color w:val="000000"/>
          <w:sz w:val="22"/>
        </w:rPr>
        <w:t> </w:t>
      </w:r>
      <w:r>
        <w:rPr>
          <w:rFonts w:ascii="Times New Roman" w:hAnsi="Times New Roman"/>
          <w:b w:val="false"/>
          <w:i w:val="false"/>
          <w:color w:val="000000"/>
          <w:sz w:val="22"/>
        </w:rPr>
        <w:t>Emergency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a Title V permit, an “emergency” means any situation arising from sudden and reasonably unforeseeable events beyond the control of the source, including acts of God, which situation requires immediate corrective action to restore normal operation, and that causes the source to exceed a technology-based emission limitation under the permit, due to unavoidable increases in emissions attributable to the emergency. An emergency shall not include noncompliance to the extent caused by improperly designed equipment, lack of preventive maintenance, careless or improper operation, or operator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constitutes an affirmative defense to an action brought for noncompliance with such technology-based emission limitations if the conditions of </w:t>
      </w:r>
      <w:hyperlink r:id="rId132">
        <w:r>
          <w:rPr>
            <w:rStyle w:val="Hyperlink"/>
            <w:rFonts w:ascii="Times New Roman" w:hAnsi="Times New Roman"/>
            <w:b w:val="false"/>
            <w:i w:val="false"/>
            <w:color w:val="000000"/>
            <w:sz w:val="22"/>
          </w:rPr>
          <w:t>24.108(16)</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affirmative defense. The affirmative defense of emergency shall be demonstrated by the source through properly signed, contemporaneous operating logs, or other relevant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occurred and that the permittee can identify the cause(s)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permitted facility was at the time being properly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period of the emergency the permittee took all reasonable steps to minimize levels of emissions that exceeded the emissions standards or other requirements of the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submitted notice of the emergency to the director by certified mail within two working days of the time when emission limitations were exceeded due to the emergency. This notice fulfills the requirement of </w:t>
      </w:r>
      <w:hyperlink r:id="rId133">
        <w:r>
          <w:rPr>
            <w:rStyle w:val="Hyperlink"/>
            <w:rFonts w:ascii="Times New Roman" w:hAnsi="Times New Roman"/>
            <w:b w:val="false"/>
            <w:i w:val="false"/>
            <w:color w:val="000000"/>
            <w:sz w:val="22"/>
          </w:rPr>
          <w:t>24.108(5)</w:t>
        </w:r>
      </w:hyperlink>
      <w:r>
        <w:rPr>
          <w:rFonts w:ascii="Times New Roman" w:hAnsi="Times New Roman"/>
          <w:b w:val="false"/>
          <w:i/>
          <w:color w:val="000000"/>
          <w:sz w:val="22"/>
        </w:rPr>
        <w:t>“b.”</w:t>
      </w:r>
      <w:r>
        <w:rPr>
          <w:rFonts w:ascii="Times New Roman" w:hAnsi="Times New Roman"/>
          <w:b w:val="false"/>
          <w:i w:val="false"/>
          <w:color w:val="000000"/>
          <w:sz w:val="22"/>
        </w:rPr>
        <w:t xml:space="preserve"> This notice must contain a description of the emergency, any steps taken to mitigate emissions, and corrective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any enforcement proceeding, the permittee seeking to establish the occurrence of an emergency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provision is in addition to any emergency or upset provision contained in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24.108(17)</w:t>
      </w:r>
      <w:r>
        <w:rPr>
          <w:rFonts w:ascii="Times New Roman" w:hAnsi="Times New Roman"/>
          <w:b w:val="false"/>
          <w:i w:val="false"/>
          <w:color w:val="000000"/>
          <w:sz w:val="22"/>
        </w:rPr>
        <w:t> </w:t>
      </w:r>
      <w:r>
        <w:rPr>
          <w:rFonts w:ascii="Times New Roman" w:hAnsi="Times New Roman"/>
          <w:b w:val="false"/>
          <w:i w:val="false"/>
          <w:color w:val="000000"/>
          <w:sz w:val="22"/>
        </w:rPr>
        <w:t>Permit reopenings.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Title V permit issued to a major source shall require that revisions be made to incorporate applicable standards and regulations adopted by the Administrator pursuant to the Act,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permit has a remaining term of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reopening and revision on this ground is not required if the effective date of the requirement is later than the date on which the permit is due to expire, unless the original permit or any of its terms and conditions have been extended pursuant to 40 CFR §70.4(b)(10)(i) or (ii) as amended through October 6,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additional applicable requirements are implemented in a general permit that is applicable to the source and the source receives approval for coverage under that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revisions shall be made as expeditiously as practicable, but not later than 18 months after the promulgation of such standards and regulations. Any permit revision required pursuant to this subrule shall be treated as a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24.108(18)</w:t>
      </w:r>
      <w:r>
        <w:rPr>
          <w:rFonts w:ascii="Times New Roman" w:hAnsi="Times New Roman"/>
          <w:b w:val="false"/>
          <w:i w:val="false"/>
          <w:color w:val="000000"/>
          <w:sz w:val="22"/>
        </w:rPr>
        <w:t> </w:t>
      </w:r>
      <w:r>
        <w:rPr>
          <w:rFonts w:ascii="Times New Roman" w:hAnsi="Times New Roman"/>
          <w:b w:val="false"/>
          <w:i w:val="false"/>
          <w:color w:val="000000"/>
          <w:sz w:val="22"/>
        </w:rPr>
        <w:t>Permit shield. The provisions for a permit shield as set forth in 40 CFR §70.6(f)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24.108(19)</w:t>
      </w:r>
      <w:r>
        <w:rPr>
          <w:rFonts w:ascii="Times New Roman" w:hAnsi="Times New Roman"/>
          <w:b w:val="false"/>
          <w:i w:val="false"/>
          <w:color w:val="000000"/>
          <w:sz w:val="22"/>
        </w:rPr>
        <w:t> </w:t>
      </w:r>
      <w:r>
        <w:rPr>
          <w:rFonts w:ascii="Times New Roman" w:hAnsi="Times New Roman"/>
          <w:b w:val="false"/>
          <w:i w:val="false"/>
          <w:color w:val="000000"/>
          <w:sz w:val="22"/>
        </w:rPr>
        <w:t>Emission trades. For emission trades at facilities solely for the purpose of complying with a federally enforceable emissions cap that is established in the permit independent of otherwise applicable requirements, permit applications under this provision are required to include proposed replicable procedures and proposed permit terms that ensure the emission trades are quantifiable and enforceable.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567—24.109</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permits. </w:t>
      </w:r>
      <w:r>
        <w:rPr>
          <w:rFonts w:ascii="Times New Roman" w:hAnsi="Times New Roman"/>
          <w:b w:val="false"/>
          <w:i w:val="false"/>
          <w:color w:val="000000"/>
          <w:sz w:val="22"/>
        </w:rPr>
        <w:t>The provisions for general permits as set forth in 40 CFR §70.6(d)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567—24.110</w:t>
      </w:r>
      <w:r>
        <w:rPr>
          <w:rFonts w:ascii="Times New Roman" w:hAnsi="Times New Roman"/>
          <w:b/>
          <w:i w:val="false"/>
          <w:color w:val="000000"/>
          <w:sz w:val="22"/>
        </w:rPr>
        <w:t xml:space="preserve">(455B) </w:t>
      </w:r>
      <w:r>
        <w:rPr>
          <w:rFonts w:ascii="Times New Roman" w:hAnsi="Times New Roman"/>
          <w:b/>
          <w:i w:val="false"/>
          <w:color w:val="000000"/>
          <w:sz w:val="22"/>
        </w:rPr>
        <w:t xml:space="preserve">Changes allowed without a Title V permit revision (off-permit revisions).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24.110(1)</w:t>
      </w:r>
      <w:r>
        <w:rPr>
          <w:rFonts w:ascii="Times New Roman" w:hAnsi="Times New Roman"/>
          <w:b w:val="false"/>
          <w:i w:val="false"/>
          <w:color w:val="000000"/>
          <w:sz w:val="22"/>
        </w:rPr>
        <w:t> </w:t>
      </w:r>
      <w:r>
        <w:rPr>
          <w:rFonts w:ascii="Times New Roman" w:hAnsi="Times New Roman"/>
          <w:b w:val="false"/>
          <w:i w:val="false"/>
          <w:color w:val="000000"/>
          <w:sz w:val="22"/>
        </w:rPr>
        <w:t>A source with a Title V permit may make Section 502(b)(10) changes to the permitted installation/facility without a Title V permit revision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changes are not major modifications under any provision of any program required by Section 110 through Section 112 of the Act, or major modifications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changes are not modifications under any provision of Title I of the Act and the changes do not exceed the emissions allowable under the permit (whether expressed therein as a rate of emissions or in terms of total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are not subject to any requirement under Title IV of the Act (revisions affecting Title IV permitting are addressed in </w:t>
      </w:r>
      <w:hyperlink r:id="rId134">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35">
        <w:r>
          <w:rPr>
            <w:rStyle w:val="Hyperlink"/>
            <w:rFonts w:ascii="Times New Roman" w:hAnsi="Times New Roman"/>
            <w:b w:val="false"/>
            <w:i w:val="false"/>
            <w:color w:val="000000"/>
            <w:sz w:val="22"/>
          </w:rPr>
          <w:t>567—24.144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changes comply with all applicable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such change, the permitted source provides to the department and the Administrator by certified mail, at least 30 days in advance of the proposed change, a written notification, including the following, which shall be attached to the permit by the source, the department, and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change within the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change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change in emission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pollutants emitted subject to the emissions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emissions trading provisions of the state implementation plan are invoked, then the Title V permit requirements with which the source shall comply; a description of how the emission increases and decreases will comply with the terms and conditions of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trading of emissions increases and decreases for the purpose of complying with a federally enforceable emissions cap as specified in and in compliance with the Title V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permit term or condition no longer applicable as a result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24.110(2)</w:t>
      </w:r>
      <w:r>
        <w:rPr>
          <w:rFonts w:ascii="Times New Roman" w:hAnsi="Times New Roman"/>
          <w:b w:val="false"/>
          <w:i w:val="false"/>
          <w:color w:val="000000"/>
          <w:sz w:val="22"/>
        </w:rPr>
        <w:t> </w:t>
      </w:r>
      <w:r>
        <w:rPr>
          <w:rFonts w:ascii="Times New Roman" w:hAnsi="Times New Roman"/>
          <w:b w:val="false"/>
          <w:i w:val="false"/>
          <w:color w:val="000000"/>
          <w:sz w:val="22"/>
        </w:rPr>
        <w:t>Such changes do not include changes that would violate applicable requirements or contravene federally enforceable permit terms and conditions that are monitoring (including test methods), recordkeeping, reporting, or compliance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part of this rule, the director may, upon review of a notice, require a stationary source to apply for a Title V permit if the change does not meet the requirements of </w:t>
      </w:r>
      <w:hyperlink r:id="rId136">
        <w:r>
          <w:rPr>
            <w:rStyle w:val="Hyperlink"/>
            <w:rFonts w:ascii="Times New Roman" w:hAnsi="Times New Roman"/>
            <w:b w:val="false"/>
            <w:i w:val="false"/>
            <w:color w:val="000000"/>
            <w:sz w:val="22"/>
          </w:rPr>
          <w:t>24.110(1)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shield provided in </w:t>
      </w:r>
      <w:hyperlink r:id="rId13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apply to any change made pursuant to this rule. Compliance with the permit requirements that the source will meet using the emissions trade shall be determined according to requirements of the state implementation plan authorizing the emissions trade.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567—24.111</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amendments to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24.111(1)</w:t>
      </w:r>
      <w:r>
        <w:rPr>
          <w:rFonts w:ascii="Times New Roman" w:hAnsi="Times New Roman"/>
          <w:b w:val="false"/>
          <w:i w:val="false"/>
          <w:color w:val="000000"/>
          <w:sz w:val="22"/>
        </w:rPr>
        <w:t> </w:t>
      </w:r>
      <w:r>
        <w:rPr>
          <w:rFonts w:ascii="Times New Roman" w:hAnsi="Times New Roman"/>
          <w:b w:val="false"/>
          <w:i w:val="false"/>
          <w:color w:val="000000"/>
          <w:sz w:val="22"/>
        </w:rPr>
        <w:t>An administrative permit amendment is a permit revision that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Corrects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Identifies a change in the name, address, or telephone number of any person identified in the permit, or provides a similar minor administrative change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Requires more frequent monitoring or reporting by the permittee;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Allows for a change in ownership or operational control of a source where the director determines that no other change in the permit is necessary, provided that a written agreement containing a specific date for transfer of permit responsibility, coverage, and liability between the current and new permittee has been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24.111(2)</w:t>
      </w:r>
      <w:r>
        <w:rPr>
          <w:rFonts w:ascii="Times New Roman" w:hAnsi="Times New Roman"/>
          <w:b w:val="false"/>
          <w:i w:val="false"/>
          <w:color w:val="000000"/>
          <w:sz w:val="22"/>
        </w:rPr>
        <w:t> </w:t>
      </w:r>
      <w:r>
        <w:rPr>
          <w:rFonts w:ascii="Times New Roman" w:hAnsi="Times New Roman"/>
          <w:b w:val="false"/>
          <w:i w:val="false"/>
          <w:color w:val="000000"/>
          <w:sz w:val="22"/>
        </w:rPr>
        <w:t>Administrative permit amendments to portions of permits containing provisions pursuant to Title IV of the Act shall be governed by regulations promulgated by the Administrator under Title IV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24.111(3)</w:t>
      </w:r>
      <w:r>
        <w:rPr>
          <w:rFonts w:ascii="Times New Roman" w:hAnsi="Times New Roman"/>
          <w:b w:val="false"/>
          <w:i w:val="false"/>
          <w:color w:val="000000"/>
          <w:sz w:val="22"/>
        </w:rPr>
        <w:t> </w:t>
      </w:r>
      <w:r>
        <w:rPr>
          <w:rFonts w:ascii="Times New Roman" w:hAnsi="Times New Roman"/>
          <w:b w:val="false"/>
          <w:i w:val="false"/>
          <w:color w:val="000000"/>
          <w:sz w:val="22"/>
        </w:rPr>
        <w:t>The director shall take no more than 60 days from receipt of a request for an administrative permit amendment to take final action on such request, and may incorporate such changes without providing notice to the public or affected states provided that the director designates any such permit revisions as having been made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24.111(4)</w:t>
      </w:r>
      <w:r>
        <w:rPr>
          <w:rFonts w:ascii="Times New Roman" w:hAnsi="Times New Roman"/>
          <w:b w:val="false"/>
          <w:i w:val="false"/>
          <w:color w:val="000000"/>
          <w:sz w:val="22"/>
        </w:rPr>
        <w:t> </w:t>
      </w:r>
      <w:r>
        <w:rPr>
          <w:rFonts w:ascii="Times New Roman" w:hAnsi="Times New Roman"/>
          <w:b w:val="false"/>
          <w:i w:val="false"/>
          <w:color w:val="000000"/>
          <w:sz w:val="22"/>
        </w:rPr>
        <w:t>The director shall submit to the Administrator a copy of each Title V permit revised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24.111(5)</w:t>
      </w:r>
      <w:r>
        <w:rPr>
          <w:rFonts w:ascii="Times New Roman" w:hAnsi="Times New Roman"/>
          <w:b w:val="false"/>
          <w:i w:val="false"/>
          <w:color w:val="000000"/>
          <w:sz w:val="22"/>
        </w:rPr>
        <w:t> </w:t>
      </w:r>
      <w:r>
        <w:rPr>
          <w:rFonts w:ascii="Times New Roman" w:hAnsi="Times New Roman"/>
          <w:b w:val="false"/>
          <w:i w:val="false"/>
          <w:color w:val="000000"/>
          <w:sz w:val="22"/>
        </w:rPr>
        <w:t>The source may implement the changes addressed in the request for an administrative amendment immediately upon submittal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567—24.112</w:t>
      </w:r>
      <w:r>
        <w:rPr>
          <w:rFonts w:ascii="Times New Roman" w:hAnsi="Times New Roman"/>
          <w:b/>
          <w:i w:val="false"/>
          <w:color w:val="000000"/>
          <w:sz w:val="22"/>
        </w:rPr>
        <w:t xml:space="preserve">(455B) </w:t>
      </w:r>
      <w:r>
        <w:rPr>
          <w:rFonts w:ascii="Times New Roman" w:hAnsi="Times New Roman"/>
          <w:b/>
          <w:i w:val="false"/>
          <w:color w:val="000000"/>
          <w:sz w:val="22"/>
        </w:rPr>
        <w:t xml:space="preserve">Minor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24.112(1)</w:t>
      </w:r>
      <w:r>
        <w:rPr>
          <w:rFonts w:ascii="Times New Roman" w:hAnsi="Times New Roman"/>
          <w:b w:val="false"/>
          <w:i w:val="false"/>
          <w:color w:val="000000"/>
          <w:sz w:val="22"/>
        </w:rPr>
        <w:t> </w:t>
      </w:r>
      <w:r>
        <w:rPr>
          <w:rFonts w:ascii="Times New Roman" w:hAnsi="Times New Roman"/>
          <w:b w:val="false"/>
          <w:i w:val="false"/>
          <w:color w:val="000000"/>
          <w:sz w:val="22"/>
        </w:rPr>
        <w:t>Minor Title V permit modification procedures may be used only for those permit modifications that satisfy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violate any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 not involve significant changes to existing monitoring, reporting, or recordkeeping requirements in the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 not require or change a case-by-case determination of an emission limitation or other standard, or an increment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 not seek to establish or change a permit term or condition for which there is no corresponding underlying applicable requirement and that the source has assumed in order to avoid an applicable requirement to which the source would otherwise be subject. Such terms and conditions include any federally enforceable emissions caps that the source would assume to avoid classification as a modification under any provision of Title I of the Act; and an alternative emissions limit approved pursuant to regulations promulgated under Section 112(i)(5)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not modifications under any provision of Title 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required to be processed as a significant modification under </w:t>
      </w:r>
      <w:hyperlink r:id="rId13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24.112(2)</w:t>
      </w:r>
      <w:r>
        <w:rPr>
          <w:rFonts w:ascii="Times New Roman" w:hAnsi="Times New Roman"/>
          <w:b w:val="false"/>
          <w:i w:val="false"/>
          <w:color w:val="000000"/>
          <w:sz w:val="22"/>
        </w:rPr>
        <w:t> </w:t>
      </w:r>
      <w:r>
        <w:rPr>
          <w:rFonts w:ascii="Times New Roman" w:hAnsi="Times New Roman"/>
          <w:b w:val="false"/>
          <w:i w:val="false"/>
          <w:color w:val="000000"/>
          <w:sz w:val="22"/>
        </w:rPr>
        <w:t>An application for minor permit revision shall be on the minor Title V modification application form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change, the emissions resulting from the change, and any new applicable requirements that will apply if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source’s suggested draft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a responsible official, pursuant to </w:t>
      </w:r>
      <w:hyperlink r:id="rId139">
        <w:r>
          <w:rPr>
            <w:rStyle w:val="Hyperlink"/>
            <w:rFonts w:ascii="Times New Roman" w:hAnsi="Times New Roman"/>
            <w:b w:val="false"/>
            <w:i w:val="false"/>
            <w:color w:val="000000"/>
            <w:sz w:val="22"/>
          </w:rPr>
          <w:t>24.107(4)</w:t>
        </w:r>
      </w:hyperlink>
      <w:r>
        <w:rPr>
          <w:rFonts w:ascii="Times New Roman" w:hAnsi="Times New Roman"/>
          <w:b w:val="false"/>
          <w:i w:val="false"/>
          <w:color w:val="000000"/>
          <w:sz w:val="22"/>
        </w:rPr>
        <w:t>, that the proposed modification meets the criteria for use of minor permit modification procedures and a request that such procedures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forms to enable the department to notify the Administrator and affected states as required by </w:t>
      </w:r>
      <w:hyperlink r:id="rId140">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Administrator and affected states within five working days of receipt of a complete permit modification application. Notification shall be in accordance with the provisions of </w:t>
      </w:r>
      <w:hyperlink r:id="rId141">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The department shall promptly send to the Administrator any notification required by </w:t>
      </w:r>
      <w:hyperlink r:id="rId142">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not issue a final Title V permit modification until after the Administrator’s 45-day review period or until the Administrator has notified the director that the Administrator will not object to issuance of the Title V permit modification, whichever is first. Within 90 days of the director’s receipt of an application under the minor permit modification procedures, or 15 days after the end of the Administrator’s 45-day review period provided for in </w:t>
      </w:r>
      <w:hyperlink r:id="rId14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whichever is later,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the permit modification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permit modification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that the requested permit modification does not meet the minor permit modification criteria and should be reviewed under the significant modification procedures;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 the draft permit modification and transmit to the Administrator the proposed permit modification, as required by </w:t>
      </w:r>
      <w:hyperlink r:id="rId144">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24.112(5)</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ability to make change. The source may make the change proposed in its minor permit modification application immediately after it files the application. After the source makes the change allowed by the preceding sentence, and until the director takes any of the actions specified in </w:t>
      </w:r>
      <w:hyperlink r:id="rId145">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hyperlink r:id="rId146">
        <w:r>
          <w:rPr>
            <w:rStyle w:val="Hyperlink"/>
            <w:rFonts w:ascii="Times New Roman" w:hAnsi="Times New Roman"/>
            <w:b w:val="false"/>
            <w:i w:val="false"/>
            <w:color w:val="000000"/>
            <w:sz w:val="22"/>
          </w:rPr>
          <w:t>24.112(4)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source must comply with both the applicable requirements governing the change and the proposed permit terms and conditions. During this time, the source need not comply with the existing permit terms and conditions it seeks to modify. However, if the source fails to comply with its proposed permit terms and conditions during this time period, the existing permit terms and conditions it seeks to modify may be enforced against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24.112(6)</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shield. The permit shield under </w:t>
      </w:r>
      <w:hyperlink r:id="rId147">
        <w:r>
          <w:rPr>
            <w:rStyle w:val="Hyperlink"/>
            <w:rFonts w:ascii="Times New Roman" w:hAnsi="Times New Roman"/>
            <w:b w:val="false"/>
            <w:i w:val="false"/>
            <w:color w:val="000000"/>
            <w:sz w:val="22"/>
          </w:rPr>
          <w:t>24.108(18)</w:t>
        </w:r>
      </w:hyperlink>
      <w:r>
        <w:rPr>
          <w:rFonts w:ascii="Times New Roman" w:hAnsi="Times New Roman"/>
          <w:b w:val="false"/>
          <w:i w:val="false"/>
          <w:color w:val="000000"/>
          <w:sz w:val="22"/>
        </w:rPr>
        <w:t xml:space="preserve"> shall not extend to minor Title V permit revisions.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567—24.113</w:t>
      </w:r>
      <w:r>
        <w:rPr>
          <w:rFonts w:ascii="Times New Roman" w:hAnsi="Times New Roman"/>
          <w:b/>
          <w:i w:val="false"/>
          <w:color w:val="000000"/>
          <w:sz w:val="22"/>
        </w:rPr>
        <w:t xml:space="preserve">(455B) </w:t>
      </w:r>
      <w:r>
        <w:rPr>
          <w:rFonts w:ascii="Times New Roman" w:hAnsi="Times New Roman"/>
          <w:b/>
          <w:i w:val="false"/>
          <w:color w:val="000000"/>
          <w:sz w:val="22"/>
        </w:rPr>
        <w:t xml:space="preserve">Significant Title V 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24.113(1)</w:t>
      </w:r>
      <w:r>
        <w:rPr>
          <w:rFonts w:ascii="Times New Roman" w:hAnsi="Times New Roman"/>
          <w:b w:val="false"/>
          <w:i w:val="false"/>
          <w:color w:val="000000"/>
          <w:sz w:val="22"/>
        </w:rPr>
        <w:t> </w:t>
      </w:r>
      <w:r>
        <w:rPr>
          <w:rFonts w:ascii="Times New Roman" w:hAnsi="Times New Roman"/>
          <w:b w:val="false"/>
          <w:i w:val="false"/>
          <w:color w:val="000000"/>
          <w:sz w:val="22"/>
        </w:rPr>
        <w:t>Significant Title V modification procedures shall be used for applications requesting Title V permit modifications that do not qualify as minor or administrative amendments. These include, but are not limited to, all significant changes in monitoring permit terms, every relaxation of reporting or recordkeeping permit terms, and any change in the method of measuring compliance with existing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24.113(2)</w:t>
      </w:r>
      <w:r>
        <w:rPr>
          <w:rFonts w:ascii="Times New Roman" w:hAnsi="Times New Roman"/>
          <w:b w:val="false"/>
          <w:i w:val="false"/>
          <w:color w:val="000000"/>
          <w:sz w:val="22"/>
        </w:rPr>
        <w:t> </w:t>
      </w:r>
      <w:r>
        <w:rPr>
          <w:rFonts w:ascii="Times New Roman" w:hAnsi="Times New Roman"/>
          <w:b w:val="false"/>
          <w:i w:val="false"/>
          <w:color w:val="000000"/>
          <w:sz w:val="22"/>
        </w:rPr>
        <w:t>Significant Title V permit modifications shall meet all requirements of this chapter, including those for applications, public participation, review by affected states, and review by the Administrator, as those requirements that apply to Title V permit issuance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24.113(3)</w:t>
      </w:r>
      <w:r>
        <w:rPr>
          <w:rFonts w:ascii="Times New Roman" w:hAnsi="Times New Roman"/>
          <w:b w:val="false"/>
          <w:i w:val="false"/>
          <w:color w:val="000000"/>
          <w:sz w:val="22"/>
        </w:rPr>
        <w:t> </w:t>
      </w:r>
      <w:r>
        <w:rPr>
          <w:rFonts w:ascii="Times New Roman" w:hAnsi="Times New Roman"/>
          <w:b w:val="false"/>
          <w:i w:val="false"/>
          <w:color w:val="000000"/>
          <w:sz w:val="22"/>
        </w:rPr>
        <w:t>Unless the director determines otherwise, review of significant Title V permit modification applications shall be completed within nine months of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24.113(4)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change that is subject to the requirements for a significant permit modification (pursuant to </w:t>
      </w:r>
      <w:hyperlink r:id="rId148">
        <w:r>
          <w:rPr>
            <w:rStyle w:val="Hyperlink"/>
            <w:rFonts w:ascii="Times New Roman" w:hAnsi="Times New Roman"/>
            <w:b w:val="false"/>
            <w:i w:val="false"/>
            <w:color w:val="000000"/>
            <w:sz w:val="22"/>
          </w:rPr>
          <w:t>567—24.113</w:t>
        </w:r>
      </w:hyperlink>
      <w:r>
        <w:rPr>
          <w:rFonts w:ascii="Times New Roman" w:hAnsi="Times New Roman"/>
          <w:b w:val="false"/>
          <w:i w:val="false"/>
          <w:color w:val="000000"/>
          <w:sz w:val="22"/>
        </w:rPr>
        <w:t>(455B)), the permittee shall submit to the department an application for a significant permit modification not later than three months after commencing operation of the changed source unless the existing Title V permit would prohibit such construction or change in operation, in which event the operation of the changed source may not commence until the department revises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567—24.114</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reopenings. </w:t>
      </w:r>
      <w:r>
        <w:rPr>
          <w:rFonts w:ascii="Times New Roman" w:hAnsi="Times New Roman"/>
          <w:b w:val="false"/>
          <w:i w:val="false"/>
          <w:color w:val="000000"/>
          <w:sz w:val="22"/>
        </w:rPr>
        <w:t>The provisions for Title V permit reopenings set forth in 40 CFR §70.7(f)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567—24.115</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termination, and revocation of Title V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24.115(1)</w:t>
      </w:r>
      <w:r>
        <w:rPr>
          <w:rFonts w:ascii="Times New Roman" w:hAnsi="Times New Roman"/>
          <w:b w:val="false"/>
          <w:i w:val="false"/>
          <w:color w:val="000000"/>
          <w:sz w:val="22"/>
        </w:rPr>
        <w:t> </w:t>
      </w:r>
      <w:r>
        <w:rPr>
          <w:rFonts w:ascii="Times New Roman" w:hAnsi="Times New Roman"/>
          <w:b w:val="false"/>
          <w:i w:val="false"/>
          <w:color w:val="000000"/>
          <w:sz w:val="22"/>
        </w:rPr>
        <w:t>Permits may be terminated, modified, revoked, or reissued for cause. The following examples shall be considered cause for the suspension, modification, revocation, or reissuance of a Title V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permit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applying for the permit failed to disclose a material fact required by the permit application form or the rules applicable to the permit, of which the applicant had or should have had knowledge at the time the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permit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the Title V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failed to pay an administrative, civil, or criminal penalty imposed for violations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 Title V permit under this rule, the notice of such action shall be served on the applicant or permittee by certified mail, return receipt requested. The notice shall include a statement detailing the grounds for the action sought, and the proceeding shall in all other respects comply with the requirements of </w:t>
      </w:r>
      <w:hyperlink r:id="rId149">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567—24.116</w:t>
      </w:r>
      <w:r>
        <w:rPr>
          <w:rFonts w:ascii="Times New Roman" w:hAnsi="Times New Roman"/>
          <w:b/>
          <w:i w:val="false"/>
          <w:color w:val="000000"/>
          <w:sz w:val="22"/>
        </w:rPr>
        <w:t xml:space="preserve">(455B) </w:t>
      </w:r>
      <w:r>
        <w:rPr>
          <w:rFonts w:ascii="Times New Roman" w:hAnsi="Times New Roman"/>
          <w:b/>
          <w:i w:val="false"/>
          <w:color w:val="000000"/>
          <w:sz w:val="22"/>
        </w:rPr>
        <w:t xml:space="preserve">Title V permit renewals.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24.116(1)</w:t>
      </w:r>
      <w:r>
        <w:rPr>
          <w:rFonts w:ascii="Times New Roman" w:hAnsi="Times New Roman"/>
          <w:b w:val="false"/>
          <w:i w:val="false"/>
          <w:color w:val="000000"/>
          <w:sz w:val="22"/>
        </w:rPr>
        <w:t> </w:t>
      </w:r>
      <w:r>
        <w:rPr>
          <w:rFonts w:ascii="Times New Roman" w:hAnsi="Times New Roman"/>
          <w:b w:val="false"/>
          <w:i w:val="false"/>
          <w:color w:val="000000"/>
          <w:sz w:val="22"/>
        </w:rPr>
        <w:t>An application for Title V permit renewal shall be subject to the same procedural requirements that apply to initial permit issuance, including those for public participation and review by the Administrator and affected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24.116(2)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0">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 xml:space="preserve">(455B), permit expiration terminates a source’s right to operate unless a timely and complete application for renewal has been submitted in accordance with </w:t>
      </w:r>
      <w:hyperlink r:id="rId151">
        <w:r>
          <w:rPr>
            <w:rStyle w:val="Hyperlink"/>
            <w:rFonts w:ascii="Times New Roman" w:hAnsi="Times New Roman"/>
            <w:b w:val="false"/>
            <w:i w:val="false"/>
            <w:color w:val="000000"/>
            <w:sz w:val="22"/>
          </w:rPr>
          <w:t>567—24.105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567—24.117</w:t>
      </w:r>
      <w:r>
        <w:rPr>
          <w:rFonts w:ascii="Times New Roman" w:hAnsi="Times New Roman"/>
          <w:b w:val="false"/>
          <w:i w:val="false"/>
          <w:color w:val="000000"/>
          <w:sz w:val="22"/>
        </w:rPr>
        <w:t xml:space="preserve"> to </w:t>
      </w:r>
      <w:r>
        <w:rPr>
          <w:rFonts w:ascii="Times New Roman" w:hAnsi="Times New Roman"/>
          <w:b/>
          <w:i w:val="false"/>
          <w:color w:val="000000"/>
          <w:sz w:val="22"/>
        </w:rPr>
        <w:t>24.119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program—definitions. </w:t>
      </w:r>
      <w:r>
        <w:rPr>
          <w:rFonts w:ascii="Times New Roman" w:hAnsi="Times New Roman"/>
          <w:b w:val="false"/>
          <w:i w:val="false"/>
          <w:color w:val="000000"/>
          <w:sz w:val="22"/>
        </w:rPr>
        <w:t xml:space="preserve">The terms used in </w:t>
      </w:r>
      <w:hyperlink r:id="rId152">
        <w:r>
          <w:rPr>
            <w:rStyle w:val="Hyperlink"/>
            <w:rFonts w:ascii="Times New Roman" w:hAnsi="Times New Roman"/>
            <w:b w:val="false"/>
            <w:i w:val="false"/>
            <w:color w:val="000000"/>
            <w:sz w:val="22"/>
          </w:rPr>
          <w:t>567—24.120</w:t>
        </w:r>
      </w:hyperlink>
      <w:r>
        <w:rPr>
          <w:rFonts w:ascii="Times New Roman" w:hAnsi="Times New Roman"/>
          <w:b w:val="false"/>
          <w:i w:val="false"/>
          <w:color w:val="000000"/>
          <w:sz w:val="22"/>
        </w:rPr>
        <w:t xml:space="preserve">(455B) through </w:t>
      </w:r>
      <w:hyperlink r:id="rId153">
        <w:r>
          <w:rPr>
            <w:rStyle w:val="Hyperlink"/>
            <w:rFonts w:ascii="Times New Roman" w:hAnsi="Times New Roman"/>
            <w:b w:val="false"/>
            <w:i w:val="false"/>
            <w:color w:val="000000"/>
            <w:sz w:val="22"/>
          </w:rPr>
          <w:t>567—24.146</w:t>
        </w:r>
      </w:hyperlink>
      <w:r>
        <w:rPr>
          <w:rFonts w:ascii="Times New Roman" w:hAnsi="Times New Roman"/>
          <w:b w:val="false"/>
          <w:i w:val="false"/>
          <w:color w:val="000000"/>
          <w:sz w:val="22"/>
        </w:rPr>
        <w:t>(455B) shall have the meanings set forth in Title IV of the Act, 42 U.S.C. §7401, et seq., as amended through November 15, 1990, and in this rule. The definitions set forth in 40 CFR Part 72 as amended through March 28, 2011, and 40 CFR Part 76 as amended through October 15, 1999,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and is the state acid rain permitting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mean the same as defined in 567— 22.1(455B).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operating permit” </w:t>
      </w:r>
      <w:r>
        <w:rPr>
          <w:rFonts w:ascii="Times New Roman" w:hAnsi="Times New Roman"/>
          <w:b w:val="false"/>
          <w:i w:val="false"/>
          <w:color w:val="000000"/>
          <w:sz w:val="22"/>
        </w:rPr>
        <w:t xml:space="preserve">means a permit issued under </w:t>
      </w:r>
      <w:hyperlink r:id="rId15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implementing Title V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567—24.122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applicability of the acid rain program as set forth in 40 CFR §72.6 is adopted by reference. A certifying official of any unit may petition the Administrator for a determination of applicability under 40 CFR §72.6(c).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24.123(1)</w:t>
      </w:r>
      <w:r>
        <w:rPr>
          <w:rFonts w:ascii="Times New Roman" w:hAnsi="Times New Roman"/>
          <w:b w:val="false"/>
          <w:i w:val="false"/>
          <w:color w:val="000000"/>
          <w:sz w:val="22"/>
        </w:rPr>
        <w:t> </w:t>
      </w:r>
      <w:r>
        <w:rPr>
          <w:rFonts w:ascii="Times New Roman" w:hAnsi="Times New Roman"/>
          <w:b w:val="false"/>
          <w:i/>
          <w:color w:val="000000"/>
          <w:sz w:val="22"/>
        </w:rPr>
        <w:t xml:space="preserve">New unit exemption. </w:t>
      </w:r>
      <w:r>
        <w:rPr>
          <w:rFonts w:ascii="Times New Roman" w:hAnsi="Times New Roman"/>
          <w:b w:val="false"/>
          <w:i w:val="false"/>
          <w:color w:val="000000"/>
          <w:sz w:val="22"/>
        </w:rPr>
        <w:t>The new unit exemption, as specified in 40 CFR §72.7, except for 40 CFR §72.7(c)(1)(i), is adopted by reference. This exemption applies to new utility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24.123(2)</w:t>
      </w:r>
      <w:r>
        <w:rPr>
          <w:rFonts w:ascii="Times New Roman" w:hAnsi="Times New Roman"/>
          <w:b w:val="false"/>
          <w:i w:val="false"/>
          <w:color w:val="000000"/>
          <w:sz w:val="22"/>
        </w:rPr>
        <w:t> </w:t>
      </w:r>
      <w:r>
        <w:rPr>
          <w:rFonts w:ascii="Times New Roman" w:hAnsi="Times New Roman"/>
          <w:b w:val="false"/>
          <w:i/>
          <w:color w:val="000000"/>
          <w:sz w:val="22"/>
        </w:rPr>
        <w:t xml:space="preserve">Retired unit exemption. </w:t>
      </w:r>
      <w:r>
        <w:rPr>
          <w:rFonts w:ascii="Times New Roman" w:hAnsi="Times New Roman"/>
          <w:b w:val="false"/>
          <w:i w:val="false"/>
          <w:color w:val="000000"/>
          <w:sz w:val="22"/>
        </w:rPr>
        <w:t>The retired unit exemption, as specified in 40 CFR §72.8, is adopted by reference. This exemption applies to any affected unit that is permanently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24.123(3)</w:t>
      </w:r>
      <w:r>
        <w:rPr>
          <w:rFonts w:ascii="Times New Roman" w:hAnsi="Times New Roman"/>
          <w:b w:val="false"/>
          <w:i w:val="false"/>
          <w:color w:val="000000"/>
          <w:sz w:val="22"/>
        </w:rPr>
        <w:t> </w:t>
      </w:r>
      <w:r>
        <w:rPr>
          <w:rFonts w:ascii="Times New Roman" w:hAnsi="Times New Roman"/>
          <w:b w:val="false"/>
          <w:i/>
          <w:color w:val="000000"/>
          <w:sz w:val="22"/>
        </w:rPr>
        <w:t xml:space="preserve">Industrial utility-unit exemption. </w:t>
      </w:r>
      <w:r>
        <w:rPr>
          <w:rFonts w:ascii="Times New Roman" w:hAnsi="Times New Roman"/>
          <w:b w:val="false"/>
          <w:i w:val="false"/>
          <w:color w:val="000000"/>
          <w:sz w:val="22"/>
        </w:rPr>
        <w:t>The industrial utility-unit exemption, as specified in 40 CFR §72.14, is adopted by reference. This exemption applies to any noncogeneration utility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567—24.125</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requirements. </w:t>
      </w:r>
      <w:r>
        <w:rPr>
          <w:rFonts w:ascii="Times New Roman" w:hAnsi="Times New Roman"/>
          <w:b w:val="false"/>
          <w:i w:val="false"/>
          <w:color w:val="000000"/>
          <w:sz w:val="22"/>
        </w:rPr>
        <w:t>Permit requirements as set forth in 40 CFR §72.9(a)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24.125(2)</w:t>
      </w:r>
      <w:r>
        <w:rPr>
          <w:rFonts w:ascii="Times New Roman" w:hAnsi="Times New Roman"/>
          <w:b w:val="false"/>
          <w:i w:val="false"/>
          <w:color w:val="000000"/>
          <w:sz w:val="22"/>
        </w:rPr>
        <w:t> </w:t>
      </w:r>
      <w:r>
        <w:rPr>
          <w:rFonts w:ascii="Times New Roman" w:hAnsi="Times New Roman"/>
          <w:b w:val="false"/>
          <w:i/>
          <w:color w:val="000000"/>
          <w:sz w:val="22"/>
        </w:rPr>
        <w:t xml:space="preserve">Monitoring requirements. </w:t>
      </w:r>
      <w:r>
        <w:rPr>
          <w:rFonts w:ascii="Times New Roman" w:hAnsi="Times New Roman"/>
          <w:b w:val="false"/>
          <w:i w:val="false"/>
          <w:color w:val="000000"/>
          <w:sz w:val="22"/>
        </w:rPr>
        <w:t>Monitoring requirements as set forth in 40 CFR §72.9(b)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24.125(3)</w:t>
      </w:r>
      <w:r>
        <w:rPr>
          <w:rFonts w:ascii="Times New Roman" w:hAnsi="Times New Roman"/>
          <w:b w:val="false"/>
          <w:i w:val="false"/>
          <w:color w:val="000000"/>
          <w:sz w:val="22"/>
        </w:rPr>
        <w:t> </w:t>
      </w:r>
      <w:r>
        <w:rPr>
          <w:rFonts w:ascii="Times New Roman" w:hAnsi="Times New Roman"/>
          <w:b w:val="false"/>
          <w:i/>
          <w:color w:val="000000"/>
          <w:sz w:val="22"/>
        </w:rPr>
        <w:t xml:space="preserve">Sulfur dioxide requirements. </w:t>
      </w:r>
      <w:r>
        <w:rPr>
          <w:rFonts w:ascii="Times New Roman" w:hAnsi="Times New Roman"/>
          <w:b w:val="false"/>
          <w:i w:val="false"/>
          <w:color w:val="000000"/>
          <w:sz w:val="22"/>
        </w:rPr>
        <w:t xml:space="preserve">Sulfur dioxide requirements as set forth in 40 CFR §72.9(c)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24.125(4)</w:t>
      </w:r>
      <w:r>
        <w:rPr>
          <w:rFonts w:ascii="Times New Roman" w:hAnsi="Times New Roman"/>
          <w:b w:val="false"/>
          <w:i w:val="false"/>
          <w:color w:val="000000"/>
          <w:sz w:val="22"/>
        </w:rPr>
        <w:t> </w:t>
      </w:r>
      <w:r>
        <w:rPr>
          <w:rFonts w:ascii="Times New Roman" w:hAnsi="Times New Roman"/>
          <w:b w:val="false"/>
          <w:i/>
          <w:color w:val="000000"/>
          <w:sz w:val="22"/>
        </w:rPr>
        <w:t xml:space="preserve">Nitrogen oxides requirements. </w:t>
      </w:r>
      <w:r>
        <w:rPr>
          <w:rFonts w:ascii="Times New Roman" w:hAnsi="Times New Roman"/>
          <w:b w:val="false"/>
          <w:i w:val="false"/>
          <w:color w:val="000000"/>
          <w:sz w:val="22"/>
        </w:rPr>
        <w:t>Nitrogen oxides requirements as set forth in 40 CFR §72.9(d)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24.125(5)</w:t>
      </w:r>
      <w:r>
        <w:rPr>
          <w:rFonts w:ascii="Times New Roman" w:hAnsi="Times New Roman"/>
          <w:b w:val="false"/>
          <w:i w:val="false"/>
          <w:color w:val="000000"/>
          <w:sz w:val="22"/>
        </w:rPr>
        <w:t> </w:t>
      </w:r>
      <w:r>
        <w:rPr>
          <w:rFonts w:ascii="Times New Roman" w:hAnsi="Times New Roman"/>
          <w:b w:val="false"/>
          <w:i/>
          <w:color w:val="000000"/>
          <w:sz w:val="22"/>
        </w:rPr>
        <w:t xml:space="preserve">Excess emissions requirements. </w:t>
      </w:r>
      <w:r>
        <w:rPr>
          <w:rFonts w:ascii="Times New Roman" w:hAnsi="Times New Roman"/>
          <w:b w:val="false"/>
          <w:i w:val="false"/>
          <w:color w:val="000000"/>
          <w:sz w:val="22"/>
        </w:rPr>
        <w:t>Excess emissions requirements as set forth in 40 CFR §72.9(e)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24.125(6)</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Recordkeeping and reporting requirements as set forth in 40 CFR §72.9(f)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24.125(7)</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Liability provisions as set forth in 40 CFR §72.9(g)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24.125(8)</w:t>
      </w:r>
      <w:r>
        <w:rPr>
          <w:rFonts w:ascii="Times New Roman" w:hAnsi="Times New Roman"/>
          <w:b w:val="false"/>
          <w:i w:val="false"/>
          <w:color w:val="000000"/>
          <w:sz w:val="22"/>
        </w:rPr>
        <w:t> </w:t>
      </w:r>
      <w:r>
        <w:rPr>
          <w:rFonts w:ascii="Times New Roman" w:hAnsi="Times New Roman"/>
          <w:b w:val="false"/>
          <w:i/>
          <w:color w:val="000000"/>
          <w:sz w:val="22"/>
        </w:rPr>
        <w:t xml:space="preserve">Effect on other authorities. </w:t>
      </w:r>
      <w:r>
        <w:rPr>
          <w:rFonts w:ascii="Times New Roman" w:hAnsi="Times New Roman"/>
          <w:b w:val="false"/>
          <w:i w:val="false"/>
          <w:color w:val="000000"/>
          <w:sz w:val="22"/>
        </w:rPr>
        <w:t>The provisions for the effect on other authorities as set forth in 40 CFR §72.9(h)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567—24.126</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representative—submissions. </w:t>
      </w:r>
      <w:r>
        <w:rPr>
          <w:rFonts w:ascii="Times New Roman" w:hAnsi="Times New Roman"/>
          <w:b w:val="false"/>
          <w:i w:val="false"/>
          <w:color w:val="000000"/>
          <w:sz w:val="22"/>
        </w:rPr>
        <w:t>The provisions for submission by designated representatives as set forth in 40 CFR 72, Subpart B,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567—24.127</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representative—objections. </w:t>
      </w:r>
      <w:r>
        <w:rPr>
          <w:rFonts w:ascii="Times New Roman" w:hAnsi="Times New Roman"/>
          <w:b w:val="false"/>
          <w:i w:val="false"/>
          <w:color w:val="000000"/>
          <w:sz w:val="22"/>
        </w:rPr>
        <w:t>The provisions for disputes regarding a designated representative as set forth in 40 CFR §72.25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567—24.128</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applications—requirement to apply. </w:t>
      </w:r>
      <w:r>
        <w:rPr>
          <w:rFonts w:ascii="Times New Roman" w:hAnsi="Times New Roman"/>
          <w:b w:val="false"/>
          <w:i w:val="false"/>
          <w:color w:val="000000"/>
          <w:sz w:val="22"/>
        </w:rPr>
        <w:t>The requirement to apply for an acid rain permit as set forth in 40 CFR §72.30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24.128(1)</w:t>
      </w:r>
      <w:r>
        <w:rPr>
          <w:rFonts w:ascii="Times New Roman" w:hAnsi="Times New Roman"/>
          <w:b w:val="false"/>
          <w:i w:val="false"/>
          <w:color w:val="000000"/>
          <w:sz w:val="22"/>
        </w:rPr>
        <w:t> </w:t>
      </w:r>
      <w:r>
        <w:rPr>
          <w:rFonts w:ascii="Times New Roman" w:hAnsi="Times New Roman"/>
          <w:b w:val="false"/>
          <w:i/>
          <w:color w:val="000000"/>
          <w:sz w:val="22"/>
        </w:rPr>
        <w:t xml:space="preserve">Duty to reapply. </w:t>
      </w:r>
      <w:r>
        <w:rPr>
          <w:rFonts w:ascii="Times New Roman" w:hAnsi="Times New Roman"/>
          <w:b w:val="false"/>
          <w:i w:val="false"/>
          <w:color w:val="000000"/>
          <w:sz w:val="22"/>
        </w:rPr>
        <w:t>The duty to reapply, as set forth in 40 CFR §72.30(c),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24.128(2)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copies. </w:t>
      </w:r>
      <w:r>
        <w:rPr>
          <w:rFonts w:ascii="Times New Roman" w:hAnsi="Times New Roman"/>
          <w:b w:val="false"/>
          <w:i w:val="false"/>
          <w:color w:val="000000"/>
          <w:sz w:val="22"/>
        </w:rPr>
        <w:t>The designated representative shall submit the application in the electronic format specified by the department, if electronic submittal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567—24.129</w:t>
      </w:r>
      <w:r>
        <w:rPr>
          <w:rFonts w:ascii="Times New Roman" w:hAnsi="Times New Roman"/>
          <w:b/>
          <w:i w:val="false"/>
          <w:color w:val="000000"/>
          <w:sz w:val="22"/>
        </w:rPr>
        <w:t xml:space="preserve">(455B) </w:t>
      </w:r>
      <w:r>
        <w:rPr>
          <w:rFonts w:ascii="Times New Roman" w:hAnsi="Times New Roman"/>
          <w:b/>
          <w:i w:val="false"/>
          <w:color w:val="000000"/>
          <w:sz w:val="22"/>
        </w:rPr>
        <w:t xml:space="preserve">Information requirements for acid rain permit applications. </w:t>
      </w:r>
      <w:r>
        <w:rPr>
          <w:rFonts w:ascii="Times New Roman" w:hAnsi="Times New Roman"/>
          <w:b w:val="false"/>
          <w:i w:val="false"/>
          <w:color w:val="000000"/>
          <w:sz w:val="22"/>
        </w:rPr>
        <w:t>A complete acid rain permit application shall be submitted on a form approved by the department and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affected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24.129(2)</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affected unit at the source for which the permit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compliance plan for each unit, in accordance with </w:t>
      </w:r>
      <w:hyperlink r:id="rId156">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under </w:t>
      </w:r>
      <w:hyperlink r:id="rId157">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24.129(5)</w:t>
      </w:r>
      <w:r>
        <w:rPr>
          <w:rFonts w:ascii="Times New Roman" w:hAnsi="Times New Roman"/>
          <w:b w:val="false"/>
          <w:i w:val="false"/>
          <w:color w:val="000000"/>
          <w:sz w:val="22"/>
        </w:rPr>
        <w:t> </w:t>
      </w:r>
      <w:r>
        <w:rPr>
          <w:rFonts w:ascii="Times New Roman" w:hAnsi="Times New Roman"/>
          <w:b w:val="false"/>
          <w:i w:val="false"/>
          <w:color w:val="000000"/>
          <w:sz w:val="22"/>
        </w:rPr>
        <w:t>If the unit is a new unit, the date that the unit has commenced or will commence operation and the deadline for monitor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567—24.130</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application shield and binding effect of permit application. </w:t>
      </w:r>
      <w:r>
        <w:rPr>
          <w:rFonts w:ascii="Times New Roman" w:hAnsi="Times New Roman"/>
          <w:b w:val="false"/>
          <w:i w:val="false"/>
          <w:color w:val="000000"/>
          <w:sz w:val="22"/>
        </w:rPr>
        <w:t>The provisions for an acid rain permit application shield and the binding effect of a permit application as set forth in 40 CFR §72.32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567—24.131</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compliance plan and compliance options—general. </w:t>
      </w:r>
      <w:r>
        <w:rPr>
          <w:rFonts w:ascii="Times New Roman" w:hAnsi="Times New Roman"/>
          <w:b w:val="false"/>
          <w:i w:val="false"/>
          <w:color w:val="000000"/>
          <w:sz w:val="22"/>
        </w:rPr>
        <w:t>The general provisions for an acid rain compliance plan and compliance options as set forth in 40 CFR §72.40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567—24.132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567—24.133</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contents—general. </w:t>
      </w:r>
      <w:r>
        <w:rPr>
          <w:rFonts w:ascii="Times New Roman" w:hAnsi="Times New Roman"/>
          <w:b w:val="false"/>
          <w:i w:val="false"/>
          <w:color w:val="000000"/>
          <w:sz w:val="22"/>
        </w:rPr>
        <w:t>The general provisions for acid rain permit contents as set forth in 40 CFR §72.50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567—24.134</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shield. </w:t>
      </w:r>
      <w:r>
        <w:rPr>
          <w:rFonts w:ascii="Times New Roman" w:hAnsi="Times New Roman"/>
          <w:b w:val="false"/>
          <w:i w:val="false"/>
          <w:color w:val="000000"/>
          <w:sz w:val="22"/>
        </w:rPr>
        <w:t>The general provisions for an acid rain permit shield as set forth in 40 CFR §72.51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567—24.135</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procedures—general. </w:t>
      </w:r>
      <w:r>
        <w:rPr>
          <w:rFonts w:ascii="Times New Roman" w:hAnsi="Times New Roman"/>
          <w:b w:val="false"/>
          <w:i w:val="false"/>
          <w:color w:val="000000"/>
          <w:sz w:val="22"/>
        </w:rPr>
        <w:t xml:space="preserve">The department will issue or deny all acid rain permits in accordance with </w:t>
      </w:r>
      <w:hyperlink r:id="rId15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59">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 xml:space="preserve">(455B), including the completeness determination, draft permit, administrative record, statement of basis, public notice and comment period, public hearing, proposed permit, permit issuance, permit revision, and appeal procedures as amended by </w:t>
      </w:r>
      <w:hyperlink r:id="rId160">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6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567—24.136</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procedures—completeness. </w:t>
      </w:r>
      <w:r>
        <w:rPr>
          <w:rFonts w:ascii="Times New Roman" w:hAnsi="Times New Roman"/>
          <w:b w:val="false"/>
          <w:i w:val="false"/>
          <w:color w:val="000000"/>
          <w:sz w:val="22"/>
        </w:rPr>
        <w:t>The department will submit a written notice of application completeness to the Administrator within ten working days following a determination by the department that the acid rain permit application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567—24.137</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issuance procedures—statement of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24.137(1)</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briefly set forth significant factual, legal, and policy considerations on which the department relied in issuing or denying the draft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24.137(2)</w:t>
      </w:r>
      <w:r>
        <w:rPr>
          <w:rFonts w:ascii="Times New Roman" w:hAnsi="Times New Roman"/>
          <w:b w:val="false"/>
          <w:i w:val="false"/>
          <w:color w:val="000000"/>
          <w:sz w:val="22"/>
        </w:rPr>
        <w:t> </w:t>
      </w:r>
      <w:r>
        <w:rPr>
          <w:rFonts w:ascii="Times New Roman" w:hAnsi="Times New Roman"/>
          <w:b w:val="false"/>
          <w:i w:val="false"/>
          <w:color w:val="000000"/>
          <w:sz w:val="22"/>
        </w:rPr>
        <w:t>The statement of basis will include the reasons, and supporting authority, for approval or disapproval of any compliance options requested in the permit application, including references to applicable statutory or regulatory provisions and to the administrative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24.137(3)</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to the Administrator a copy of the draft acid rain permit and the statement of basis and all other relevant portions of the Title V operating permit that may affect the draft acid rain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567—24.138</w:t>
      </w:r>
      <w:r>
        <w:rPr>
          <w:rFonts w:ascii="Times New Roman" w:hAnsi="Times New Roman"/>
          <w:b/>
          <w:i w:val="false"/>
          <w:color w:val="000000"/>
          <w:sz w:val="22"/>
        </w:rPr>
        <w:t xml:space="preserve">(455B) </w:t>
      </w:r>
      <w:r>
        <w:rPr>
          <w:rFonts w:ascii="Times New Roman" w:hAnsi="Times New Roman"/>
          <w:b/>
          <w:i w:val="false"/>
          <w:color w:val="000000"/>
          <w:sz w:val="22"/>
        </w:rPr>
        <w:t xml:space="preserve">Issuance of acid rain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permit. After the close of the public comment and EPA 45-day review period (pursuant to </w:t>
      </w:r>
      <w:hyperlink r:id="rId162">
        <w:r>
          <w:rPr>
            <w:rStyle w:val="Hyperlink"/>
            <w:rFonts w:ascii="Times New Roman" w:hAnsi="Times New Roman"/>
            <w:b w:val="false"/>
            <w:i w:val="false"/>
            <w:color w:val="000000"/>
            <w:sz w:val="22"/>
          </w:rPr>
          <w:t>24.107(6)</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the department will address any objections by the Administrator, incorporate all necessary changes and issue or deny the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submit the proposed acid rain permit or denial of a proposed acid rain permit to the Administrator in accordance with </w:t>
      </w:r>
      <w:hyperlink r:id="rId16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65">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the provisions of which shall be treated as applying to the issuance or denial of a proposed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24.138(3)</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Administrator’s review of the proposed acid rain permit or denial of a proposed acid rain permit, the department, or under 40 CFR §70.8(c), the Administrator, will incorporate any required changes and issue or deny the acid rain permit in accordance with </w:t>
      </w:r>
      <w:hyperlink r:id="rId166">
        <w:r>
          <w:rPr>
            <w:rStyle w:val="Hyperlink"/>
            <w:rFonts w:ascii="Times New Roman" w:hAnsi="Times New Roman"/>
            <w:b w:val="false"/>
            <w:i w:val="false"/>
            <w:color w:val="000000"/>
            <w:sz w:val="22"/>
          </w:rPr>
          <w:t>567—24.133</w:t>
        </w:r>
      </w:hyperlink>
      <w:r>
        <w:rPr>
          <w:rFonts w:ascii="Times New Roman" w:hAnsi="Times New Roman"/>
          <w:b w:val="false"/>
          <w:i w:val="false"/>
          <w:color w:val="000000"/>
          <w:sz w:val="22"/>
        </w:rPr>
        <w:t xml:space="preserve">(455B) and </w:t>
      </w:r>
      <w:hyperlink r:id="rId167">
        <w:r>
          <w:rPr>
            <w:rStyle w:val="Hyperlink"/>
            <w:rFonts w:ascii="Times New Roman" w:hAnsi="Times New Roman"/>
            <w:b w:val="false"/>
            <w:i w:val="false"/>
            <w:color w:val="000000"/>
            <w:sz w:val="22"/>
          </w:rPr>
          <w:t>567—24.134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24.138(4)</w:t>
      </w:r>
      <w:r>
        <w:rPr>
          <w:rFonts w:ascii="Times New Roman" w:hAnsi="Times New Roman"/>
          <w:b w:val="false"/>
          <w:i w:val="false"/>
          <w:color w:val="000000"/>
          <w:sz w:val="22"/>
        </w:rPr>
        <w:t> </w:t>
      </w:r>
      <w:r>
        <w:rPr>
          <w:rFonts w:ascii="Times New Roman" w:hAnsi="Times New Roman"/>
          <w:b w:val="false"/>
          <w:i w:val="false"/>
          <w:color w:val="000000"/>
          <w:sz w:val="22"/>
        </w:rPr>
        <w:t>No acid rain permit including a draft or proposed permit shall be issued unless the Administrator has received a certificate of representation for the designated representative of the source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24.138(5)</w:t>
      </w:r>
      <w:r>
        <w:rPr>
          <w:rFonts w:ascii="Times New Roman" w:hAnsi="Times New Roman"/>
          <w:b w:val="false"/>
          <w:i w:val="false"/>
          <w:color w:val="000000"/>
          <w:sz w:val="22"/>
        </w:rPr>
        <w:t> </w:t>
      </w:r>
      <w:r>
        <w:rPr>
          <w:rFonts w:ascii="Times New Roman" w:hAnsi="Times New Roman"/>
          <w:b w:val="false"/>
          <w:i w:val="false"/>
          <w:color w:val="000000"/>
          <w:sz w:val="22"/>
        </w:rPr>
        <w:t>Permit issuance deadline and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acid rain permit issued in accordance with </w:t>
      </w:r>
      <w:hyperlink r:id="rId168">
        <w:r>
          <w:rPr>
            <w:rStyle w:val="Hyperlink"/>
            <w:rFonts w:ascii="Times New Roman" w:hAnsi="Times New Roman"/>
            <w:b w:val="false"/>
            <w:i w:val="false"/>
            <w:color w:val="000000"/>
            <w:sz w:val="22"/>
          </w:rPr>
          <w:t>24.138(5)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take effect by the later of January 1, 2000, or, where the permit governs a unit under </w:t>
      </w:r>
      <w:hyperlink r:id="rId169">
        <w:r>
          <w:rPr>
            <w:rStyle w:val="Hyperlink"/>
            <w:rFonts w:ascii="Times New Roman" w:hAnsi="Times New Roman"/>
            <w:b w:val="false"/>
            <w:i w:val="false"/>
            <w:color w:val="000000"/>
            <w:sz w:val="22"/>
          </w:rPr>
          <w:t>24.122(1)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deadline for monitor certification under </w:t>
      </w:r>
      <w:hyperlink r:id="rId17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have a term of five years commencing on its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acid rain permit shall be binding on any new owner or operator or designated representative of any source or unit governed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24.138(6)</w:t>
      </w:r>
      <w:r>
        <w:rPr>
          <w:rFonts w:ascii="Times New Roman" w:hAnsi="Times New Roman"/>
          <w:b w:val="false"/>
          <w:i w:val="false"/>
          <w:color w:val="000000"/>
          <w:sz w:val="22"/>
        </w:rPr>
        <w:t> </w:t>
      </w:r>
      <w:r>
        <w:rPr>
          <w:rFonts w:ascii="Times New Roman" w:hAnsi="Times New Roman"/>
          <w:b w:val="false"/>
          <w:i w:val="false"/>
          <w:color w:val="000000"/>
          <w:sz w:val="22"/>
        </w:rPr>
        <w:t>Each acid rain permit shall contain all applicable acid rain requirements, shall be a portion of the Title V operating permit that is complete and segregable from all other air quality requirements, and shall not incorporate information contained in any other documents, other than documents that are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24.138(7)</w:t>
      </w:r>
      <w:r>
        <w:rPr>
          <w:rFonts w:ascii="Times New Roman" w:hAnsi="Times New Roman"/>
          <w:b w:val="false"/>
          <w:i w:val="false"/>
          <w:color w:val="000000"/>
          <w:sz w:val="22"/>
        </w:rPr>
        <w:t> </w:t>
      </w:r>
      <w:r>
        <w:rPr>
          <w:rFonts w:ascii="Times New Roman" w:hAnsi="Times New Roman"/>
          <w:b w:val="false"/>
          <w:i w:val="false"/>
          <w:color w:val="000000"/>
          <w:sz w:val="22"/>
        </w:rPr>
        <w:t>Invalidation of the acid rain portion of a Title V operating permit shall not affect the continuing validity of the rest of the Title V operating permit, nor shall invalidation of any other portion of the Title V operating permit affect the continuing validity of the acid rain portion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567—24.139</w:t>
      </w:r>
      <w:r>
        <w:rPr>
          <w:rFonts w:ascii="Times New Roman" w:hAnsi="Times New Roman"/>
          <w:b/>
          <w:i w:val="false"/>
          <w:color w:val="000000"/>
          <w:sz w:val="22"/>
        </w:rPr>
        <w:t xml:space="preserve">(455B) </w:t>
      </w:r>
      <w:r>
        <w:rPr>
          <w:rFonts w:ascii="Times New Roman" w:hAnsi="Times New Roman"/>
          <w:b/>
          <w:i w:val="false"/>
          <w:color w:val="000000"/>
          <w:sz w:val="22"/>
        </w:rPr>
        <w:t xml:space="preserve">Acid rain permit appeal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the acid rain portion of a Title V operating permit issued by the department that do not challenge or involve decisions or actions of the Administrator under 40 CFR Parts 72, 73, 75, 76, 77, and 78 and Sections 407 and 410 of the Act and regulations implementing Sections 407 and 410 shall be conducted according to the procedures in Iowa Code chapter </w:t>
      </w:r>
      <w:hyperlink r:id="rId1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as adopted by reference in </w:t>
      </w:r>
      <w:hyperlink r:id="rId17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Appeals of the acid rain portion of such a permit that challenge or involve such decisions or actions of the Administrator shall follow the procedures under 40 CFR Part 78, as amended through March 20, 2017, and Section 307 of the Act. Such decisions or actions include, but are not limited to, allowance allocations, determinations concerning alternative monitoring systems, and determinations of whether a technology is a qualifying repowering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24.139(2)</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or judicial appeal of the acid rain portion of a Title V operating permit shall be allowed more than 30 days following respective issuance of the acid rain portion of the permit that is subject to administrative appeal or issuance of the final agency action subject to judicial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24.139(3)</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intervene as a matter of right in any state administrative appeal of an acid rain permit or denial of an acid rain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24.139(4)</w:t>
      </w:r>
      <w:r>
        <w:rPr>
          <w:rFonts w:ascii="Times New Roman" w:hAnsi="Times New Roman"/>
          <w:b w:val="false"/>
          <w:i w:val="false"/>
          <w:color w:val="000000"/>
          <w:sz w:val="22"/>
        </w:rPr>
        <w:t> </w:t>
      </w:r>
      <w:r>
        <w:rPr>
          <w:rFonts w:ascii="Times New Roman" w:hAnsi="Times New Roman"/>
          <w:b w:val="false"/>
          <w:i w:val="false"/>
          <w:color w:val="000000"/>
          <w:sz w:val="22"/>
        </w:rPr>
        <w:t>No administrative appeal concerning an acid rain requirement shall result in a stay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allowance allocations for any year during which the appeal proceeding is pending or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standard requirement under </w:t>
      </w:r>
      <w:hyperlink r:id="rId174">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emissions monitoring and reporting requirements applicable to the affected units at an affected source under </w:t>
      </w:r>
      <w:hyperlink r:id="rId175">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Uncontested provisions of the decision on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terms of a certificate of representation submitted by a designated representative under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24.139(5)</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written notice on the Administrator of any state administrative or judicial appeal concerning an acid rain provision of any Title V operating permit or denial of an acid rain portion of any Title V operating permit within 30 days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serve written notice on the Administrator of any determination or order in a state administrative or judicial proceeding that interprets, modifies, voids, or otherwise relates to any portion of an acid rain permit. Following any such determination or order, the Administrator will have an opportunity to review and veto the acid rain permit or revoke the permit for cause in accordance with </w:t>
      </w:r>
      <w:hyperlink r:id="rId176">
        <w:r>
          <w:rPr>
            <w:rStyle w:val="Hyperlink"/>
            <w:rFonts w:ascii="Times New Roman" w:hAnsi="Times New Roman"/>
            <w:b w:val="false"/>
            <w:i w:val="false"/>
            <w:color w:val="000000"/>
            <w:sz w:val="22"/>
          </w:rPr>
          <w:t>24.107(7)</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24.107(8)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revisions—general.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24.140(1)</w:t>
      </w:r>
      <w:r>
        <w:rPr>
          <w:rFonts w:ascii="Times New Roman" w:hAnsi="Times New Roman"/>
          <w:b w:val="false"/>
          <w:i w:val="false"/>
          <w:color w:val="000000"/>
          <w:sz w:val="22"/>
        </w:rPr>
        <w:t> </w:t>
      </w:r>
      <w:hyperlink r:id="rId178">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79">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 shall govern revisions to any acid rain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24.140(2)</w:t>
      </w:r>
      <w:r>
        <w:rPr>
          <w:rFonts w:ascii="Times New Roman" w:hAnsi="Times New Roman"/>
          <w:b w:val="false"/>
          <w:i w:val="false"/>
          <w:color w:val="000000"/>
          <w:sz w:val="22"/>
        </w:rPr>
        <w:t> </w:t>
      </w:r>
      <w:r>
        <w:rPr>
          <w:rFonts w:ascii="Times New Roman" w:hAnsi="Times New Roman"/>
          <w:b w:val="false"/>
          <w:i w:val="false"/>
          <w:color w:val="000000"/>
          <w:sz w:val="22"/>
        </w:rPr>
        <w:t>A permit revision may be submitted for approval at any time. No permit revision shall affect the term of the acid rain permit to be revised. No permit revision shall excuse any violation of an acid rain program requirement that occurred prior to the effective date of the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24.140(3)</w:t>
      </w:r>
      <w:r>
        <w:rPr>
          <w:rFonts w:ascii="Times New Roman" w:hAnsi="Times New Roman"/>
          <w:b w:val="false"/>
          <w:i w:val="false"/>
          <w:color w:val="000000"/>
          <w:sz w:val="22"/>
        </w:rPr>
        <w:t> </w:t>
      </w:r>
      <w:r>
        <w:rPr>
          <w:rFonts w:ascii="Times New Roman" w:hAnsi="Times New Roman"/>
          <w:b w:val="false"/>
          <w:i w:val="false"/>
          <w:color w:val="000000"/>
          <w:sz w:val="22"/>
        </w:rPr>
        <w:t>The terms of the acid rain permit shall apply while the permit revision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determination or interpretation by the state (including the department or a state court) modifying or voiding any acid rain permit provision shall be subject to review by the Administrator in accordance with 40 CFR §70.8(c), as applied to permit modifications, unless the determination or interpretation is an administrative amendment approved in accordance with </w:t>
      </w:r>
      <w:hyperlink r:id="rId180">
        <w:r>
          <w:rPr>
            <w:rStyle w:val="Hyperlink"/>
            <w:rFonts w:ascii="Times New Roman" w:hAnsi="Times New Roman"/>
            <w:b w:val="false"/>
            <w:i w:val="false"/>
            <w:color w:val="000000"/>
            <w:sz w:val="22"/>
          </w:rPr>
          <w:t>567—24.143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requirements of </w:t>
      </w:r>
      <w:hyperlink r:id="rId181">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 shall not be modified or voided by a permit revision.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permit revision involving incorporation of a compliance option that was not submitted for approval and comment during the permit issuance process, or involving a change in a compliance option that was previously submitted, shall meet the requirements for applying for such compliance option under </w:t>
      </w:r>
      <w:hyperlink r:id="rId182">
        <w:r>
          <w:rPr>
            <w:rStyle w:val="Hyperlink"/>
            <w:rFonts w:ascii="Times New Roman" w:hAnsi="Times New Roman"/>
            <w:b w:val="false"/>
            <w:i w:val="false"/>
            <w:color w:val="000000"/>
            <w:sz w:val="22"/>
          </w:rPr>
          <w:t>567—24.131</w:t>
        </w:r>
      </w:hyperlink>
      <w:r>
        <w:rPr>
          <w:rFonts w:ascii="Times New Roman" w:hAnsi="Times New Roman"/>
          <w:b w:val="false"/>
          <w:i w:val="false"/>
          <w:color w:val="000000"/>
          <w:sz w:val="22"/>
        </w:rPr>
        <w:t>(455B) and Section 407 of the Act and regulations implementing Section 407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24.140(7)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permit revisions not described in </w:t>
      </w:r>
      <w:hyperlink r:id="rId183">
        <w:r>
          <w:rPr>
            <w:rStyle w:val="Hyperlink"/>
            <w:rFonts w:ascii="Times New Roman" w:hAnsi="Times New Roman"/>
            <w:b w:val="false"/>
            <w:i w:val="false"/>
            <w:color w:val="000000"/>
            <w:sz w:val="22"/>
          </w:rPr>
          <w:t>567—24.141</w:t>
        </w:r>
      </w:hyperlink>
      <w:r>
        <w:rPr>
          <w:rFonts w:ascii="Times New Roman" w:hAnsi="Times New Roman"/>
          <w:b w:val="false"/>
          <w:i w:val="false"/>
          <w:color w:val="000000"/>
          <w:sz w:val="22"/>
        </w:rPr>
        <w:t xml:space="preserve">(455B) and </w:t>
      </w:r>
      <w:hyperlink r:id="rId184">
        <w:r>
          <w:rPr>
            <w:rStyle w:val="Hyperlink"/>
            <w:rFonts w:ascii="Times New Roman" w:hAnsi="Times New Roman"/>
            <w:b w:val="false"/>
            <w:i w:val="false"/>
            <w:color w:val="000000"/>
            <w:sz w:val="22"/>
          </w:rPr>
          <w:t>567—24.142</w:t>
        </w:r>
      </w:hyperlink>
      <w:r>
        <w:rPr>
          <w:rFonts w:ascii="Times New Roman" w:hAnsi="Times New Roman"/>
          <w:b w:val="false"/>
          <w:i w:val="false"/>
          <w:color w:val="000000"/>
          <w:sz w:val="22"/>
        </w:rPr>
        <w:t>(455B), the department may, in its discretion, determine which of these rules is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modifications shall follow the permit issuance requirements of </w:t>
      </w:r>
      <w:hyperlink r:id="rId185">
        <w:r>
          <w:rPr>
            <w:rStyle w:val="Hyperlink"/>
            <w:rFonts w:ascii="Times New Roman" w:hAnsi="Times New Roman"/>
            <w:b w:val="false"/>
            <w:i w:val="false"/>
            <w:color w:val="000000"/>
            <w:sz w:val="22"/>
          </w:rPr>
          <w:t>567—24.135</w:t>
        </w:r>
      </w:hyperlink>
      <w:r>
        <w:rPr>
          <w:rFonts w:ascii="Times New Roman" w:hAnsi="Times New Roman"/>
          <w:b w:val="false"/>
          <w:i w:val="false"/>
          <w:color w:val="000000"/>
          <w:sz w:val="22"/>
        </w:rPr>
        <w:t xml:space="preserve">(455B) through </w:t>
      </w:r>
      <w:hyperlink r:id="rId186">
        <w:r>
          <w:rPr>
            <w:rStyle w:val="Hyperlink"/>
            <w:rFonts w:ascii="Times New Roman" w:hAnsi="Times New Roman"/>
            <w:b w:val="false"/>
            <w:i w:val="false"/>
            <w:color w:val="000000"/>
            <w:sz w:val="22"/>
          </w:rPr>
          <w:t>567—24.139</w:t>
        </w:r>
      </w:hyperlink>
      <w:r>
        <w:rPr>
          <w:rFonts w:ascii="Times New Roman" w:hAnsi="Times New Roman"/>
          <w:b w:val="false"/>
          <w:i w:val="false"/>
          <w:color w:val="000000"/>
          <w:sz w:val="22"/>
        </w:rPr>
        <w:t xml:space="preserve">(455B) and </w:t>
      </w:r>
      <w:hyperlink r:id="rId187">
        <w:r>
          <w:rPr>
            <w:rStyle w:val="Hyperlink"/>
            <w:rFonts w:ascii="Times New Roman" w:hAnsi="Times New Roman"/>
            <w:b w:val="false"/>
            <w:i w:val="false"/>
            <w:color w:val="000000"/>
            <w:sz w:val="22"/>
          </w:rPr>
          <w:t>24.113(2)</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24.113(3)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applying </w:t>
      </w:r>
      <w:hyperlink r:id="rId189">
        <w:r>
          <w:rPr>
            <w:rStyle w:val="Hyperlink"/>
            <w:rFonts w:ascii="Times New Roman" w:hAnsi="Times New Roman"/>
            <w:b w:val="false"/>
            <w:i w:val="false"/>
            <w:color w:val="000000"/>
            <w:sz w:val="22"/>
          </w:rPr>
          <w:t>24.141(1)</w:t>
        </w:r>
      </w:hyperlink>
      <w:r>
        <w:rPr>
          <w:rFonts w:ascii="Times New Roman" w:hAnsi="Times New Roman"/>
          <w:b w:val="false"/>
          <w:i w:val="false"/>
          <w:color w:val="000000"/>
          <w:sz w:val="22"/>
        </w:rPr>
        <w:t xml:space="preserve">, a permit modification shall be treated as an acid rain permit application, to the extent consistent with </w:t>
      </w:r>
      <w:hyperlink r:id="rId190">
        <w:r>
          <w:rPr>
            <w:rStyle w:val="Hyperlink"/>
            <w:rFonts w:ascii="Times New Roman" w:hAnsi="Times New Roman"/>
            <w:b w:val="false"/>
            <w:i w:val="false"/>
            <w:color w:val="000000"/>
            <w:sz w:val="22"/>
          </w:rPr>
          <w:t>567—24.140</w:t>
        </w:r>
      </w:hyperlink>
      <w:r>
        <w:rPr>
          <w:rFonts w:ascii="Times New Roman" w:hAnsi="Times New Roman"/>
          <w:b w:val="false"/>
          <w:i w:val="false"/>
          <w:color w:val="000000"/>
          <w:sz w:val="22"/>
        </w:rPr>
        <w:t xml:space="preserve">(455B) through </w:t>
      </w:r>
      <w:hyperlink r:id="rId191">
        <w:r>
          <w:rPr>
            <w:rStyle w:val="Hyperlink"/>
            <w:rFonts w:ascii="Times New Roman" w:hAnsi="Times New Roman"/>
            <w:b w:val="false"/>
            <w:i w:val="false"/>
            <w:color w:val="000000"/>
            <w:sz w:val="22"/>
          </w:rPr>
          <w:t>567—24.145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24.141(3)</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permit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Relaxation of an excess emission offset requirement after approval of the offset plan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Incorporation of a final nitrogen oxides alternative emissions limitation following a demonstration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option of the designated representative submitting the permit revision, the permit revisions listed in </w:t>
      </w:r>
      <w:hyperlink r:id="rId192">
        <w:r>
          <w:rPr>
            <w:rStyle w:val="Hyperlink"/>
            <w:rFonts w:ascii="Times New Roman" w:hAnsi="Times New Roman"/>
            <w:b w:val="false"/>
            <w:i w:val="false"/>
            <w:color w:val="000000"/>
            <w:sz w:val="22"/>
          </w:rPr>
          <w:t>24.142(2)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567—24.142</w:t>
      </w:r>
      <w:r>
        <w:rPr>
          <w:rFonts w:ascii="Times New Roman" w:hAnsi="Times New Roman"/>
          <w:b/>
          <w:i w:val="false"/>
          <w:color w:val="000000"/>
          <w:sz w:val="22"/>
        </w:rPr>
        <w:t xml:space="preserve">(455B) </w:t>
      </w:r>
      <w:r>
        <w:rPr>
          <w:rFonts w:ascii="Times New Roman" w:hAnsi="Times New Roman"/>
          <w:b/>
          <w:i w:val="false"/>
          <w:color w:val="000000"/>
          <w:sz w:val="22"/>
        </w:rPr>
        <w:t xml:space="preserve">Fast-track modifications. </w:t>
      </w:r>
      <w:r>
        <w:rPr>
          <w:rFonts w:ascii="Times New Roman" w:hAnsi="Times New Roman"/>
          <w:b w:val="false"/>
          <w:i w:val="false"/>
          <w:color w:val="000000"/>
          <w:sz w:val="22"/>
        </w:rPr>
        <w:t>The requirements for fast-track modifications as set forth in 40 CFR §72.82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567—24.143</w:t>
      </w:r>
      <w:r>
        <w:rPr>
          <w:rFonts w:ascii="Times New Roman" w:hAnsi="Times New Roman"/>
          <w:b/>
          <w:i w:val="false"/>
          <w:color w:val="000000"/>
          <w:sz w:val="22"/>
        </w:rPr>
        <w:t xml:space="preserve">(455B) </w:t>
      </w:r>
      <w:r>
        <w:rPr>
          <w:rFonts w:ascii="Times New Roman" w:hAnsi="Times New Roman"/>
          <w:b/>
          <w:i w:val="false"/>
          <w:color w:val="000000"/>
          <w:sz w:val="22"/>
        </w:rPr>
        <w:t xml:space="preserve">Administrative permit amendment.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amendments shall follow the procedures set forth in </w:t>
      </w:r>
      <w:hyperlink r:id="rId193">
        <w:r>
          <w:rPr>
            <w:rStyle w:val="Hyperlink"/>
            <w:rFonts w:ascii="Times New Roman" w:hAnsi="Times New Roman"/>
            <w:b w:val="false"/>
            <w:i w:val="false"/>
            <w:color w:val="000000"/>
            <w:sz w:val="22"/>
          </w:rPr>
          <w:t>567—24.111</w:t>
        </w:r>
      </w:hyperlink>
      <w:r>
        <w:rPr>
          <w:rFonts w:ascii="Times New Roman" w:hAnsi="Times New Roman"/>
          <w:b w:val="false"/>
          <w:i w:val="false"/>
          <w:color w:val="000000"/>
          <w:sz w:val="22"/>
        </w:rPr>
        <w:t>(455B). The department will submit the revised portion of the permit to the Administrator within ten working days after the date of final action on the request for an administrative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24.143(2)</w:t>
      </w:r>
      <w:r>
        <w:rPr>
          <w:rFonts w:ascii="Times New Roman" w:hAnsi="Times New Roman"/>
          <w:b w:val="false"/>
          <w:i w:val="false"/>
          <w:color w:val="000000"/>
          <w:sz w:val="22"/>
        </w:rPr>
        <w:t> </w:t>
      </w:r>
      <w:r>
        <w:rPr>
          <w:rFonts w:ascii="Times New Roman" w:hAnsi="Times New Roman"/>
          <w:b w:val="false"/>
          <w:i w:val="false"/>
          <w:color w:val="000000"/>
          <w:sz w:val="22"/>
        </w:rPr>
        <w:t>The following permit revisions are administrative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Activation of a compliance option conditionally approved by the department, provided that all requirements for activation under </w:t>
      </w:r>
      <w:hyperlink r:id="rId194">
        <w:r>
          <w:rPr>
            <w:rStyle w:val="Hyperlink"/>
            <w:rFonts w:ascii="Times New Roman" w:hAnsi="Times New Roman"/>
            <w:b w:val="false"/>
            <w:i w:val="false"/>
            <w:color w:val="000000"/>
            <w:sz w:val="22"/>
          </w:rPr>
          <w:t>24.131(3)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the designated representative or alternative designated representative, provided that a new certificate of representation is submitted to the Administrator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Correction of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names, addresses, or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in the owners or operators, provided that a new certificate of representation is submitted within 30 days to the Administrator and the department in accordance with Subpart B of 40 CFR Part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Termination of a compliance option in the permit, provided that all requirements for termination under </w:t>
      </w:r>
      <w:hyperlink r:id="rId195">
        <w:r>
          <w:rPr>
            <w:rStyle w:val="Hyperlink"/>
            <w:rFonts w:ascii="Times New Roman" w:hAnsi="Times New Roman"/>
            <w:b w:val="false"/>
            <w:i w:val="false"/>
            <w:color w:val="000000"/>
            <w:sz w:val="22"/>
          </w:rPr>
          <w:t>24.131(4)</w:t>
        </w:r>
      </w:hyperlink>
      <w:r>
        <w:rPr>
          <w:rFonts w:ascii="Times New Roman" w:hAnsi="Times New Roman"/>
          <w:b w:val="false"/>
          <w:i w:val="false"/>
          <w:color w:val="000000"/>
          <w:sz w:val="22"/>
        </w:rPr>
        <w:t xml:space="preserve"> shall be met and this procedure shall not be used to terminate a repowering plan after December 31,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in the date, specified in a new unit’s acid rain permit, of commencement of operation or the deadline for monitor certification; provided that they are in accordance with </w:t>
      </w:r>
      <w:hyperlink r:id="rId196">
        <w:r>
          <w:rPr>
            <w:rStyle w:val="Hyperlink"/>
            <w:rFonts w:ascii="Times New Roman" w:hAnsi="Times New Roman"/>
            <w:b w:val="false"/>
            <w:i w:val="false"/>
            <w:color w:val="000000"/>
            <w:sz w:val="22"/>
          </w:rPr>
          <w:t>567—24.125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addition of or change in a nitrogen oxides alternative emissions limitation demonstration period, provided that the requirements of regulations implementing Section 407 of the Act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Incorporation of changes that the Administrator has determined to be similar to those in </w:t>
      </w:r>
      <w:hyperlink r:id="rId197">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198">
        <w:r>
          <w:rPr>
            <w:rStyle w:val="Hyperlink"/>
            <w:rFonts w:ascii="Times New Roman" w:hAnsi="Times New Roman"/>
            <w:b w:val="false"/>
            <w:i w:val="false"/>
            <w:color w:val="000000"/>
            <w:sz w:val="22"/>
          </w:rPr>
          <w:t>24.143(2)</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567—24.144</w:t>
      </w:r>
      <w:r>
        <w:rPr>
          <w:rFonts w:ascii="Times New Roman" w:hAnsi="Times New Roman"/>
          <w:b/>
          <w:i w:val="false"/>
          <w:color w:val="000000"/>
          <w:sz w:val="22"/>
        </w:rPr>
        <w:t xml:space="preserve">(455B) </w:t>
      </w:r>
      <w:r>
        <w:rPr>
          <w:rFonts w:ascii="Times New Roman" w:hAnsi="Times New Roman"/>
          <w:b/>
          <w:i w:val="false"/>
          <w:color w:val="000000"/>
          <w:sz w:val="22"/>
        </w:rPr>
        <w:t xml:space="preserve">Automatic permit amendment. </w:t>
      </w:r>
      <w:r>
        <w:rPr>
          <w:rFonts w:ascii="Times New Roman" w:hAnsi="Times New Roman"/>
          <w:b w:val="false"/>
          <w:i w:val="false"/>
          <w:color w:val="000000"/>
          <w:sz w:val="22"/>
        </w:rPr>
        <w:t>The provisions for automatic permit amendments as set forth in 40 CFR §72.84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reopenings. </w:t>
      </w:r>
      <w:r>
        <w:rPr>
          <w:rFonts w:ascii="Times New Roman" w:hAnsi="Times New Roman"/>
          <w:b w:val="false"/>
          <w:i w:val="false"/>
          <w:color w:val="000000"/>
          <w:sz w:val="22"/>
        </w:rPr>
        <w:t>The provisions for permit reopenings as set forth in 40 CFR §72.85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567—24.146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certification—annual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24.146(1)</w:t>
      </w:r>
      <w:r>
        <w:rPr>
          <w:rFonts w:ascii="Times New Roman" w:hAnsi="Times New Roman"/>
          <w:b w:val="false"/>
          <w:i w:val="false"/>
          <w:color w:val="000000"/>
          <w:sz w:val="22"/>
        </w:rPr>
        <w:t> </w:t>
      </w:r>
      <w:r>
        <w:rPr>
          <w:rFonts w:ascii="Times New Roman" w:hAnsi="Times New Roman"/>
          <w:b w:val="false"/>
          <w:i w:val="false"/>
          <w:color w:val="000000"/>
          <w:sz w:val="22"/>
        </w:rPr>
        <w:t>Applicability and deadline. For each calendar year in which a unit is subject to the acid rain emissions limitations, the designated representative of the source at which the unit is located shall submit to the Administrator and the department, within 60 days after the end of the calendar year, an annual compliance certification report for the unit in compliance with 40 CFR §72.90.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of complete compliance certifications in accordance with </w:t>
      </w:r>
      <w:hyperlink r:id="rId199">
        <w:r>
          <w:rPr>
            <w:rStyle w:val="Hyperlink"/>
            <w:rFonts w:ascii="Times New Roman" w:hAnsi="Times New Roman"/>
            <w:b w:val="false"/>
            <w:i w:val="false"/>
            <w:color w:val="000000"/>
            <w:sz w:val="22"/>
          </w:rPr>
          <w:t>24.146(1)</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567—25.2</w:t>
        </w:r>
      </w:hyperlink>
      <w:r>
        <w:rPr>
          <w:rFonts w:ascii="Times New Roman" w:hAnsi="Times New Roman"/>
          <w:b w:val="false"/>
          <w:i w:val="false"/>
          <w:color w:val="000000"/>
          <w:sz w:val="22"/>
        </w:rPr>
        <w:t xml:space="preserve">(455B) shall be deemed to satisfy the requirement to submit compliance certifications under </w:t>
      </w:r>
      <w:hyperlink r:id="rId201">
        <w:r>
          <w:rPr>
            <w:rStyle w:val="Hyperlink"/>
            <w:rFonts w:ascii="Times New Roman" w:hAnsi="Times New Roman"/>
            <w:b w:val="false"/>
            <w:i w:val="false"/>
            <w:color w:val="000000"/>
            <w:sz w:val="22"/>
          </w:rPr>
          <w:t>24.108(15)</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regard to the acid rain portion of the source’s Title V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567—24.148</w:t>
      </w:r>
      <w:r>
        <w:rPr>
          <w:rFonts w:ascii="Times New Roman" w:hAnsi="Times New Roman"/>
          <w:b/>
          <w:i w:val="false"/>
          <w:color w:val="000000"/>
          <w:sz w:val="22"/>
        </w:rPr>
        <w:t xml:space="preserve">(455B) </w:t>
      </w:r>
      <w:r>
        <w:rPr>
          <w:rFonts w:ascii="Times New Roman" w:hAnsi="Times New Roman"/>
          <w:b/>
          <w:i w:val="false"/>
          <w:color w:val="000000"/>
          <w:sz w:val="22"/>
        </w:rPr>
        <w:t xml:space="preserve">Sulfur dioxide opt-ins. </w:t>
      </w:r>
      <w:r>
        <w:rPr>
          <w:rFonts w:ascii="Times New Roman" w:hAnsi="Times New Roman"/>
          <w:b w:val="false"/>
          <w:i w:val="false"/>
          <w:color w:val="000000"/>
          <w:sz w:val="22"/>
        </w:rPr>
        <w:t>The provisions for sulfur dioxide opt-ins as set forth in 40 CFR Part 74 as amended through April 28, 2006,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567—24.149</w:t>
      </w:r>
      <w:r>
        <w:rPr>
          <w:rFonts w:ascii="Times New Roman" w:hAnsi="Times New Roman"/>
          <w:b w:val="false"/>
          <w:i w:val="false"/>
          <w:color w:val="000000"/>
          <w:sz w:val="22"/>
        </w:rPr>
        <w:t xml:space="preserve"> to </w:t>
      </w:r>
      <w:r>
        <w:rPr>
          <w:rFonts w:ascii="Times New Roman" w:hAnsi="Times New Roman"/>
          <w:b/>
          <w:i w:val="false"/>
          <w:color w:val="000000"/>
          <w:sz w:val="22"/>
        </w:rPr>
        <w:t>24.299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567—24.300</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permit by rule for small sources. </w:t>
      </w:r>
      <w:r>
        <w:rPr>
          <w:rFonts w:ascii="Times New Roman" w:hAnsi="Times New Roman"/>
          <w:b w:val="false"/>
          <w:i w:val="false"/>
          <w:color w:val="000000"/>
          <w:sz w:val="22"/>
        </w:rPr>
        <w:t xml:space="preserve">Except as provided in </w:t>
      </w:r>
      <w:hyperlink r:id="rId202">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xml:space="preserve">, any source that otherwise would be required to obtain a Title V operating permit may instead register for an operation permit by rule for small sources. Sources that comply with the requirements contained in this rule will be deemed to have an operating permit by rule for small sources. Sources that comply with this rule will be considered to have federally enforceable limits so that their potential emissions are less than the major source thresholds for regulated air pollutants and hazardous air pollutants as defined in </w:t>
      </w:r>
      <w:hyperlink r:id="rId20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w:t>
      </w:r>
      <w:r>
        <w:rPr>
          <w:rFonts w:ascii="Times New Roman" w:hAnsi="Times New Roman"/>
          <w:b w:val="false"/>
          <w:i w:val="false"/>
          <w:color w:val="000000"/>
          <w:sz w:val="22"/>
        </w:rPr>
        <w:t> </w:t>
      </w:r>
      <w:r>
        <w:rPr>
          <w:rFonts w:ascii="Times New Roman" w:hAnsi="Times New Roman"/>
          <w:b w:val="false"/>
          <w:i/>
          <w:color w:val="000000"/>
          <w:sz w:val="22"/>
        </w:rPr>
        <w:t xml:space="preserve">Definitions for operating permit by rule for small sources. </w:t>
      </w:r>
      <w:r>
        <w:rPr>
          <w:rFonts w:ascii="Times New Roman" w:hAnsi="Times New Roman"/>
          <w:b w:val="false"/>
          <w:i w:val="false"/>
          <w:color w:val="000000"/>
          <w:sz w:val="22"/>
        </w:rPr>
        <w:t xml:space="preserve">For the purposes of </w:t>
      </w:r>
      <w:hyperlink r:id="rId20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definitions shall be the same as the definitions found in </w:t>
      </w:r>
      <w:hyperlink r:id="rId20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206">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24.300(11)</w:t>
        </w:r>
      </w:hyperlink>
      <w:r>
        <w:rPr>
          <w:rFonts w:ascii="Times New Roman" w:hAnsi="Times New Roman"/>
          <w:b w:val="false"/>
          <w:i w:val="false"/>
          <w:color w:val="000000"/>
          <w:sz w:val="22"/>
        </w:rPr>
        <w:t>, any person who owns or operates a stationary source and meets the following criteria may register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to emit air contaminants is equal to or in excess of the threshold for a major stationary source of regulated air pollutants or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every 12-month rolling period, the actual emissions of the stationary source are less than or equal to the emission limitations specified in </w:t>
      </w:r>
      <w:hyperlink r:id="rId208">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an operating permit by rule for small sources does not eliminate the source’s responsibility to meet any and all applicable federal requirements including, but not limited to, a MACT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prevent any stationary source that has had a Title V operating permit from qualifying to comply with this rule in the future in lieu of maintaining an application for a Title V operating permit or upon rescission of a Title V operating permit if the owner or operator demonstrates that the stationary source is in compliance with the emissions limitations in </w:t>
      </w:r>
      <w:hyperlink r:id="rId209">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reserves the right to require proof that the expected emissions from the stationary source, in conjunction with all other emissions, will not prevent the attainment or maintenance of the ambient air quality standards specified in </w:t>
      </w:r>
      <w:hyperlink r:id="rId21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24.300(3)</w:t>
      </w:r>
      <w:r>
        <w:rPr>
          <w:rFonts w:ascii="Times New Roman" w:hAnsi="Times New Roman"/>
          <w:b w:val="false"/>
          <w:i w:val="false"/>
          <w:color w:val="000000"/>
          <w:sz w:val="22"/>
        </w:rPr>
        <w:t> </w:t>
      </w:r>
      <w:r>
        <w:rPr>
          <w:rFonts w:ascii="Times New Roman" w:hAnsi="Times New Roman"/>
          <w:b w:val="false"/>
          <w:i/>
          <w:color w:val="000000"/>
          <w:sz w:val="22"/>
        </w:rPr>
        <w:t xml:space="preserve">Exceptions to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affected source subject to the provisions of Title IV of the Act or any solid waste incinerator unit required to obtain a Title V operating permit under Section 129(e) of the Act is not eligible for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1">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2">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(standards of performance for new stationary sources) or Section 111 of the Act are eligible for an operating permit by rule for small sources. These sources shall be required to obtain a Title V operating permit when the exemptions specified in </w:t>
      </w:r>
      <w:hyperlink r:id="rId214">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15">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that meet the registration criteria established in </w:t>
      </w:r>
      <w:hyperlink r:id="rId216">
        <w:r>
          <w:rPr>
            <w:rStyle w:val="Hyperlink"/>
            <w:rFonts w:ascii="Times New Roman" w:hAnsi="Times New Roman"/>
            <w:b w:val="false"/>
            <w:i w:val="false"/>
            <w:color w:val="000000"/>
            <w:sz w:val="22"/>
          </w:rPr>
          <w:t>24.300(2)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meet all applicable requirements of </w:t>
      </w:r>
      <w:hyperlink r:id="rId21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and are subject to a standard or other requirement under </w:t>
      </w:r>
      <w:hyperlink r:id="rId218">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(emissions standards for hazardous air pollutants), </w:t>
      </w:r>
      <w:hyperlink r:id="rId21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xml:space="preserve"> (emissions standards for hazardous air pollutants for source categories), or Section 112 of the Act are eligible for an operating permit by rule for small sources. These sources shall be required to obtain a Title V operating permit when the exemptions specified in </w:t>
      </w:r>
      <w:hyperlink r:id="rId220">
        <w:r>
          <w:rPr>
            <w:rStyle w:val="Hyperlink"/>
            <w:rFonts w:ascii="Times New Roman" w:hAnsi="Times New Roman"/>
            <w:b w:val="false"/>
            <w:i w:val="false"/>
            <w:color w:val="000000"/>
            <w:sz w:val="22"/>
          </w:rPr>
          <w:t>24.102(1)</w:t>
        </w:r>
      </w:hyperlink>
      <w:r>
        <w:rPr>
          <w:rFonts w:ascii="Times New Roman" w:hAnsi="Times New Roman"/>
          <w:b w:val="false"/>
          <w:i w:val="false"/>
          <w:color w:val="000000"/>
          <w:sz w:val="22"/>
        </w:rPr>
        <w:t xml:space="preserve"> or </w:t>
      </w:r>
      <w:hyperlink r:id="rId221">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no longer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24.300(4)</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 with de minimus emissions. </w:t>
      </w:r>
      <w:r>
        <w:rPr>
          <w:rFonts w:ascii="Times New Roman" w:hAnsi="Times New Roman"/>
          <w:b w:val="false"/>
          <w:i w:val="false"/>
          <w:color w:val="000000"/>
          <w:sz w:val="22"/>
        </w:rPr>
        <w:t xml:space="preserve">Stationary sources with de minimus emissions must submit the standard registration form and must meet and fulfill all registration and reporting requirements as found in </w:t>
      </w:r>
      <w:hyperlink r:id="rId222">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Only the recordkeeping and reporting provisions listed in </w:t>
      </w:r>
      <w:hyperlink r:id="rId223">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apply to a stationary source with de minimus emissions or operations as specified in </w:t>
      </w:r>
      <w:hyperlink r:id="rId224">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 minimus emission and usage limits. </w:t>
      </w:r>
      <w:r>
        <w:rPr>
          <w:rFonts w:ascii="Times New Roman" w:hAnsi="Times New Roman"/>
          <w:b w:val="false"/>
          <w:i w:val="false"/>
          <w:color w:val="000000"/>
          <w:sz w:val="22"/>
        </w:rPr>
        <w:t>For the purpose of this rule, a stationary source with de minimus emissions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the stationary source emits less than or equal to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 tons per year of a regulated air pollutant (excluding hazardous air pollutants (HAPs)),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 tons per year of a single HAP,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any combination of HAPs.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every 12-month rolling period, at least 90 percent of the stationary source’s emissions are associated with an operation for which the throughput is less than or equal to one of the quantities specified in numbered paragraphs “1” to “9”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1,400 gallons of any combination of solvent-containing materials but no more than 550 gallons of any one solvent-containing material, provided that the materials do not contain the following: methyl chloroform (1,1,1-trichloroethane), methylene chloride (dichloromethane), tetrachloroethylene (perchloroethylene), or 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750 gallons of any combination of solvent-containing materials where the materials contain the following: methyl chloroform (1,1,1-trichloroethane), methylene chloride (dichloromethane), tetrachloroethylene (perchloroethylene), or trichloroethylene, but not more than 300 gallons of any one solvent-containing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365 gallons of solvent-containing material used at a paint spray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4,400,000 gallons of gasoline dispensed from equipment with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470,000 gallons of gasoline dispensed from equipment without Phase I and II vapor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1,400 gallons of gasoline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16,600 gallons of diesel fuel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500,000 gallons of distillate oil combusted;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71,400,000 cubic feet of natural gas combusted.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 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sources shall comply with all applicable recordkeeping requirements of this rule. The recordkeeping requirements of this rule shall not replace any recordkeeping requirement contained in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 minimus sources shall always maintain an annual log of each raw material used and its amount. The annual log and all related material safety data sheets (MSDS) for all materials shall be maintained for a period of not less than the most current five years. The annual log will begin on the date the small source operating permit application is submitted, then on an annual basis, based on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written request by the state or EPA, the owner or operator of a stationary source not maintaining records pursuant to </w:t>
      </w:r>
      <w:hyperlink r:id="rId225">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shall demonstrate that the stationary source’s emissions or throughput is not in excess of the applicable quantities set forth in </w:t>
      </w:r>
      <w:hyperlink r:id="rId226">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24.300(5)</w:t>
      </w:r>
      <w:r>
        <w:rPr>
          <w:rFonts w:ascii="Times New Roman" w:hAnsi="Times New Roman"/>
          <w:b w:val="false"/>
          <w:i w:val="false"/>
          <w:color w:val="000000"/>
          <w:sz w:val="22"/>
        </w:rPr>
        <w:t> </w:t>
      </w:r>
      <w:r>
        <w:rPr>
          <w:rFonts w:ascii="Times New Roman" w:hAnsi="Times New Roman"/>
          <w:b w:val="false"/>
          <w:i/>
          <w:color w:val="000000"/>
          <w:sz w:val="22"/>
        </w:rPr>
        <w:t xml:space="preserve">Provision for air pollution control equipment. </w:t>
      </w:r>
      <w:r>
        <w:rPr>
          <w:rFonts w:ascii="Times New Roman" w:hAnsi="Times New Roman"/>
          <w:b w:val="false"/>
          <w:i w:val="false"/>
          <w:color w:val="000000"/>
          <w:sz w:val="22"/>
        </w:rPr>
        <w:t>The owner or operator of a stationary source may take into account the operation of air pollution control equipment on the capacity of the source to emit an air contaminant if the equipment is required by federal, state, or local air pollution control agency rules and regulations or permit terms and conditions that are federally enforceable. The owner or operator of the stationary source shall maintain and operate such air pollution control equipment in a manner consistent with good air pollution control practice for minimizing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24.300(6)</w:t>
      </w:r>
      <w:r>
        <w:rPr>
          <w:rFonts w:ascii="Times New Roman" w:hAnsi="Times New Roman"/>
          <w:b w:val="false"/>
          <w:i w:val="false"/>
          <w:color w:val="000000"/>
          <w:sz w:val="22"/>
        </w:rPr>
        <w:t> </w:t>
      </w:r>
      <w:r>
        <w:rPr>
          <w:rFonts w:ascii="Times New Roman" w:hAnsi="Times New Roman"/>
          <w:b w:val="false"/>
          <w:i/>
          <w:color w:val="000000"/>
          <w:sz w:val="22"/>
        </w:rPr>
        <w:t xml:space="preserve">Emission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stationary source subject to this rule shall emit in every 12-month rolling period more than the following quantities of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percent of the major source thresholds for regulated air pollutants (excluding hazardous air pollutants),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a single hazardous air pollutant,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obtain any necessary permits prior to commencing any physical or operational change or activity that will result in actual emissions that exceed the limits specified in </w:t>
      </w:r>
      <w:hyperlink r:id="rId227">
        <w:r>
          <w:rPr>
            <w:rStyle w:val="Hyperlink"/>
            <w:rFonts w:ascii="Times New Roman" w:hAnsi="Times New Roman"/>
            <w:b w:val="false"/>
            <w:i w:val="false"/>
            <w:color w:val="000000"/>
            <w:sz w:val="22"/>
          </w:rPr>
          <w:t>24.300(6)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24.300(7)</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for non-de minimus sources. </w:t>
      </w:r>
      <w:r>
        <w:rPr>
          <w:rFonts w:ascii="Times New Roman" w:hAnsi="Times New Roman"/>
          <w:b w:val="false"/>
          <w:i w:val="false"/>
          <w:color w:val="000000"/>
          <w:sz w:val="22"/>
        </w:rPr>
        <w:t>Upon registration with the department the owner or operator of a stationary source eligible to register for an operating permit by rule for small stationary sources shall comply with all applicable recordkeeping requirements in this rule. The recordkeeping requirements of this rule shall not replace any recordkeeping requirement contained in any operating permit, a construction permit, or in a local, state, or federal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previously covered by the provisions in </w:t>
      </w:r>
      <w:hyperlink r:id="rId228">
        <w:r>
          <w:rPr>
            <w:rStyle w:val="Hyperlink"/>
            <w:rFonts w:ascii="Times New Roman" w:hAnsi="Times New Roman"/>
            <w:b w:val="false"/>
            <w:i w:val="false"/>
            <w:color w:val="000000"/>
            <w:sz w:val="22"/>
          </w:rPr>
          <w:t>24.300(4)</w:t>
        </w:r>
      </w:hyperlink>
      <w:r>
        <w:rPr>
          <w:rFonts w:ascii="Times New Roman" w:hAnsi="Times New Roman"/>
          <w:b w:val="false"/>
          <w:i w:val="false"/>
          <w:color w:val="000000"/>
          <w:sz w:val="22"/>
        </w:rPr>
        <w:t xml:space="preserve"> shall comply with the applicable provisions of </w:t>
      </w:r>
      <w:hyperlink r:id="rId229">
        <w:r>
          <w:rPr>
            <w:rStyle w:val="Hyperlink"/>
            <w:rFonts w:ascii="Times New Roman" w:hAnsi="Times New Roman"/>
            <w:b w:val="false"/>
            <w:i w:val="false"/>
            <w:color w:val="000000"/>
            <w:sz w:val="22"/>
          </w:rPr>
          <w:t>24.300(7)</w:t>
        </w:r>
      </w:hyperlink>
      <w:r>
        <w:rPr>
          <w:rFonts w:ascii="Times New Roman" w:hAnsi="Times New Roman"/>
          <w:b w:val="false"/>
          <w:i w:val="false"/>
          <w:color w:val="000000"/>
          <w:sz w:val="22"/>
        </w:rPr>
        <w:t xml:space="preserve"> (recordkeeping requirements) and </w:t>
      </w:r>
      <w:hyperlink r:id="rId230">
        <w:r>
          <w:rPr>
            <w:rStyle w:val="Hyperlink"/>
            <w:rFonts w:ascii="Times New Roman" w:hAnsi="Times New Roman"/>
            <w:b w:val="false"/>
            <w:i w:val="false"/>
            <w:color w:val="000000"/>
            <w:sz w:val="22"/>
          </w:rPr>
          <w:t>24.300(8)</w:t>
        </w:r>
      </w:hyperlink>
      <w:r>
        <w:rPr>
          <w:rFonts w:ascii="Times New Roman" w:hAnsi="Times New Roman"/>
          <w:b w:val="false"/>
          <w:i w:val="false"/>
          <w:color w:val="000000"/>
          <w:sz w:val="22"/>
        </w:rPr>
        <w:t xml:space="preserve"> (reporting requirements) if the stationary source exceeds the quantities specified in </w:t>
      </w:r>
      <w:hyperlink r:id="rId231">
        <w:r>
          <w:rPr>
            <w:rStyle w:val="Hyperlink"/>
            <w:rFonts w:ascii="Times New Roman" w:hAnsi="Times New Roman"/>
            <w:b w:val="false"/>
            <w:i w:val="false"/>
            <w:color w:val="000000"/>
            <w:sz w:val="22"/>
          </w:rPr>
          <w:t>24.300(4)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stationary source subject to this rule shall keep and maintain records, as specified in </w:t>
      </w:r>
      <w:hyperlink r:id="rId232">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for each permitted emission unit and each piece of emission control equipment sufficient to determine actual emissions. Such information shall be maintained on site for five years and be made available to local, state, or EPA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Recordkeeping requirements for emission units and emission control equipment. Recordkeeping requirements for emission units are specified in </w:t>
      </w:r>
      <w:hyperlink r:id="rId233">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hyperlink r:id="rId234">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 xml:space="preserve">(4). Recordkeeping requirements for emission control equipment are specified in </w:t>
      </w:r>
      <w:hyperlink r:id="rId235">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Coating/solvent emission unit. The owner or operator of a stationary source subject to this rule that contains a coating/solvent emission unit not permitted under </w:t>
      </w:r>
      <w:hyperlink r:id="rId236">
        <w:r>
          <w:rPr>
            <w:rStyle w:val="Hyperlink"/>
            <w:rFonts w:ascii="Times New Roman" w:hAnsi="Times New Roman"/>
            <w:b w:val="false"/>
            <w:i w:val="false"/>
            <w:color w:val="000000"/>
            <w:sz w:val="22"/>
          </w:rPr>
          <w:t>567—subrule 22.8(1)</w:t>
        </w:r>
      </w:hyperlink>
      <w:r>
        <w:rPr>
          <w:rFonts w:ascii="Times New Roman" w:hAnsi="Times New Roman"/>
          <w:b w:val="false"/>
          <w:i w:val="false"/>
          <w:color w:val="000000"/>
          <w:sz w:val="22"/>
        </w:rPr>
        <w:t xml:space="preserve"> (permit by rule for spray booths) or uses a coating, solvent, ink or adhesive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list of all coatings, solvents, inks and adhesives in use. This list shall include MSDS, manufacturer’s product specifications, and material VOC content reports for each solvent (including solvents used in cleanup and surface preparation), coating, ink, and adhesive used and show at least the product manufacturer, product name and code, VOC, and hazardous air pollutant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any equipment used during and after coating/solvent application, including type, make, and model; maximum design process rate or throughput; and control device(s) type and description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the consumption of each solvent (including solvents used in cleanup and surface preparation), coating, ink, and adhesive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purchase orders, invoices, and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Organic liquid storage unit. The owner or operator of a stationary source subject to this rule that contains an organic liquid storage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monthly log identifying the liquid stored and monthly throughput;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tank design and specifications including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Combustion emission unit. The owner or operator of a stationary source subject to this rule that contains a combustion emission unit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make and model, maximum design process rate or maximum power input/output, minimum operating temperature (for thermal oxidizers) and capacity and all source test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fuel type, fuel usage, fuel heating value (for nonfossil fuels; in terms of Btu/lb or Btu/gal), and percent sulfur for fuel oil and coal.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emission unit. The owner or operator of a stationary source subject to this rule that contains an emission unit not included in </w:t>
      </w:r>
      <w:hyperlink r:id="rId237">
        <w:r>
          <w:rPr>
            <w:rStyle w:val="Hyperlink"/>
            <w:rFonts w:ascii="Times New Roman" w:hAnsi="Times New Roman"/>
            <w:b w:val="false"/>
            <w:i w:val="false"/>
            <w:color w:val="000000"/>
            <w:sz w:val="22"/>
          </w:rPr>
          <w:t>24.300(7)</w:t>
        </w:r>
      </w:hyperlink>
      <w:r>
        <w:rPr>
          <w:rFonts w:ascii="Times New Roman" w:hAnsi="Times New Roman"/>
          <w:b w:val="false"/>
          <w:i/>
          <w:color w:val="000000"/>
          <w:sz w:val="22"/>
        </w:rPr>
        <w:t>“c”</w:t>
      </w:r>
      <w:r>
        <w:rPr>
          <w:rFonts w:ascii="Times New Roman" w:hAnsi="Times New Roman"/>
          <w:b w:val="false"/>
          <w:i w:val="false"/>
          <w:color w:val="000000"/>
          <w:sz w:val="22"/>
        </w:rPr>
        <w:t>(1), (2), or (3)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the process and equipment including the following: equipment type, description, make, and model and maximum design process rate or throughput;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monthly log of operating hours and each raw material used and its amount;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orders, invoices, or other documents to support information in the monthly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 control equipment. The owner or operator of a stationary source subject to this rule that contains emission control equipment shall keep and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type and description, make and model, and emission units served by the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equipment design including, where applicable: pollutant(s) controlled; control effectiveness; maximum design or rated capacity; other design data as appropriate including any available source test information and manufacturer’s design/repair/maintenance manual;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monthly log of hours of operation including notation of any control equipment breakdowns, upsets, repairs, or maintenance and any other deviations from design parameters.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24.300(8)</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Duty to apply. Any person who owns or operates a source otherwise required to obtain a Title V operating permit and that would be eligible for an operating permit by rule for small sources must either register for an operating permit by rule for small sources or apply for a Title V operating permit. Any source determined not to be eligible for an operating permit by rule for small sources, and operating without a valid Title V operating permit, shall be subject to enforcement action for operation without a Title V operating permit, except as provided for in the application shield provisions contained in </w:t>
      </w:r>
      <w:hyperlink r:id="rId238">
        <w:r>
          <w:rPr>
            <w:rStyle w:val="Hyperlink"/>
            <w:rFonts w:ascii="Times New Roman" w:hAnsi="Times New Roman"/>
            <w:b w:val="false"/>
            <w:i w:val="false"/>
            <w:color w:val="000000"/>
            <w:sz w:val="22"/>
          </w:rPr>
          <w:t>567—24.104</w:t>
        </w:r>
      </w:hyperlink>
      <w:r>
        <w:rPr>
          <w:rFonts w:ascii="Times New Roman" w:hAnsi="Times New Roman"/>
          <w:b w:val="false"/>
          <w:i w:val="false"/>
          <w:color w:val="000000"/>
          <w:sz w:val="22"/>
        </w:rPr>
        <w:t>(455B). For each source registering for an operating permit by rule for small sources, the owner or operator or designated representative, where applicable, shall present or mail to the Air Quality Bureau, Iowa Department of Natural Resources, 6200 Park Avenue, Suite 200, Des Moines, Iowa 50312, one original and one copy of a timely and complete registration form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Timely registration. Each source registering for an operating permit by rule for small sources shall submit a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August 1, 1996, if the source became subject to </w:t>
      </w:r>
      <w:hyperlink r:id="rId239">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on or before August 1, 1995, unless otherwise required to obtain a Title V permit under </w:t>
      </w:r>
      <w:hyperlink r:id="rId240">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12 months of becoming subject to </w:t>
      </w:r>
      <w:hyperlink r:id="rId24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(the requirement to obtain a Title V operating permit) for a new source or a source that would otherwise become subject to the Title V permit requirement after August 1,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registration form. To be deemed complete, the registration form must provide all information required pursuant to </w:t>
      </w:r>
      <w:hyperlink r:id="rId242">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Duty to supplement or correct registration. Any registrant who fails to submit any relevant facts or who has submitted incorrect information in an operating permit by rule for small sources registration shall, upon becoming aware of such failure or incorrect submittal, promptly submit such supplementary facts or corrected information. In addition, the registrant shall provide additional information as necessary to address any requirements that become applicable to the source after the date it filed a complete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of truth, accuracy, and completeness. Any registration form, report, or supplemental information submitted pursuant to these rules shall contain certification by a responsible official of truth, accuracy, and completeness. This certification and any other certification required under these rules shall state that, 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registration for an operating permit by rule for small sources each owner or operator of a stationary source shall submit to the department a standard registration form and required attachments. To register for an operating permit by rule for small sources, applicants shall complete the registration form and supply all information required by the filing instructions. The information submitted must be sufficient to evaluate the source, its registration, and predicted actual emissions from the source and to determine whether the source is subject to the exceptions listed in </w:t>
      </w:r>
      <w:hyperlink r:id="rId243">
        <w:r>
          <w:rPr>
            <w:rStyle w:val="Hyperlink"/>
            <w:rFonts w:ascii="Times New Roman" w:hAnsi="Times New Roman"/>
            <w:b w:val="false"/>
            <w:i w:val="false"/>
            <w:color w:val="000000"/>
            <w:sz w:val="22"/>
          </w:rPr>
          <w:t>24.300(3)</w:t>
        </w:r>
      </w:hyperlink>
      <w:r>
        <w:rPr>
          <w:rFonts w:ascii="Times New Roman" w:hAnsi="Times New Roman"/>
          <w:b w:val="false"/>
          <w:i w:val="false"/>
          <w:color w:val="000000"/>
          <w:sz w:val="22"/>
        </w:rPr>
        <w:t>. The standard registration form and attachments shall require that the following information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company name and address (or plant or source name if different from the company name), owner’s name and responsible official, and telephone number and names of plant site manager or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source processes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emissions-related information shall be submitted to the department on the standard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actual emissions of each regulated air pollutant. Actual emissions shall be reported for one contiguous 12-month period within the 18 months preceding submission of the registration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each emission unit with the potential to emit a regulated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Limitations on source operations affecting emissions or any work practice standards, where applicable, for all regulated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Fugitive emissions sources shall be included in the registration form in the same manner as stack emissions if the source is one of the source categories defined as a stationary source category in rule </w:t>
      </w:r>
      <w:hyperlink r:id="rId24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certification. Facilities that claim to meet the requirements set forth in this rule to qualify for an operating permit by rule for small sources must submit to the department, with a complete registration form, a written statement as follows:</w:t>
      </w:r>
    </w:p>
    <w:p>
      <w:pPr>
        <w:spacing w:before="0" w:after="0"/>
        <w:ind w:left="120"/>
        <w:jc w:val="both"/>
      </w:pPr>
      <w:r>
        <w:rPr>
          <w:rFonts w:ascii="Times New Roman" w:hAnsi="Times New Roman"/>
          <w:b w:val="false"/>
          <w:i w:val="false"/>
          <w:color w:val="000000"/>
          <w:sz w:val="22"/>
        </w:rPr>
        <w:t>“I certify that all equipment at the facility with a potential to emit any regulated pollutant is included in the registration form, and submitted to the department as required in</w:t>
      </w:r>
      <w:hyperlink r:id="rId245">
        <w:r>
          <w:rPr>
            <w:rStyle w:val="Hyperlink"/>
            <w:rFonts w:ascii="Times New Roman" w:hAnsi="Times New Roman"/>
            <w:b w:val="false"/>
            <w:i w:val="false"/>
            <w:color w:val="000000"/>
            <w:sz w:val="22"/>
          </w:rPr>
          <w:t> 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I understand that the facility will be deemed to have been granted an operating permit by rule for small sources under the terms of </w:t>
      </w:r>
      <w:hyperlink r:id="rId24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only if all applicable requirements of </w:t>
      </w:r>
      <w:hyperlink r:id="rId24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are met and if the registration is not denied by the director under </w:t>
      </w:r>
      <w:hyperlink r:id="rId24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(11). This certification is based on information and belief formed after reasonable inquiry; the statements and information in the document are true, accurate, and complete.” The certification must be signed by one of the following individuals:</w:t>
      </w:r>
    </w:p>
    <w:p>
      <w:pPr>
        <w:spacing w:before="0" w:after="0"/>
        <w:ind w:left="120"/>
        <w:jc w:val="both"/>
      </w:pPr>
      <w:r>
        <w:rPr>
          <w:rFonts w:ascii="Times New Roman" w:hAnsi="Times New Roman"/>
          <w:b w:val="false"/>
          <w:i w:val="false"/>
          <w:color w:val="000000"/>
          <w:sz w:val="22"/>
        </w:rPr>
        <w:t xml:space="preserve">For corporations, a principal executive officer of at least the level of vice president, or a responsible official as defined in </w:t>
      </w:r>
      <w:hyperlink r:id="rId24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partnerships, a general partner.</w:t>
      </w:r>
    </w:p>
    <w:p>
      <w:pPr>
        <w:spacing w:before="0" w:after="0"/>
        <w:ind w:left="120"/>
        <w:jc w:val="both"/>
      </w:pPr>
      <w:r>
        <w:rPr>
          <w:rFonts w:ascii="Times New Roman" w:hAnsi="Times New Roman"/>
          <w:b w:val="false"/>
          <w:i w:val="false"/>
          <w:color w:val="000000"/>
          <w:sz w:val="22"/>
        </w:rPr>
        <w:t>For sole proprietorships, the proprietor.</w:t>
      </w:r>
    </w:p>
    <w:p>
      <w:pPr>
        <w:spacing w:before="0" w:after="0"/>
        <w:ind w:left="120"/>
        <w:jc w:val="both"/>
      </w:pPr>
      <w:r>
        <w:rPr>
          <w:rFonts w:ascii="Times New Roman" w:hAnsi="Times New Roman"/>
          <w:b w:val="false"/>
          <w:i w:val="false"/>
          <w:color w:val="000000"/>
          <w:sz w:val="22"/>
        </w:rPr>
        <w:t>For municipal, state, county, or other public facilities, the principal executive officer or the ranking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24.300(9)</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issued after registration for an operating permit by rule for small sources. </w:t>
      </w:r>
      <w:r>
        <w:rPr>
          <w:rFonts w:ascii="Times New Roman" w:hAnsi="Times New Roman"/>
          <w:b w:val="false"/>
          <w:i w:val="false"/>
          <w:color w:val="000000"/>
          <w:sz w:val="22"/>
        </w:rPr>
        <w:t>This rule shall not relieve any stationary source from complying with requirements pertaining to any otherwise applicable construction permit, or to replace a condition or term of any construction permit, or any provision of a construction permitting program. This does not preclude issuance of any construction permit with conditions or terms necessary to ensure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issuance of a construction permit acts to make the source no longer eligible for an operating permit by rule for small sources, the source shall, within 12 months of issuance of the construction permit, submit an application for a Title V operating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issuance of a construction permit does not prevent the source from continuing to be eligible to operate under an operating permit by rule for small sources, the source shall, within 30 days of issuance of a construction permit, provide to the department the information as listed in </w:t>
      </w:r>
      <w:hyperlink r:id="rId250">
        <w:r>
          <w:rPr>
            <w:rStyle w:val="Hyperlink"/>
            <w:rFonts w:ascii="Times New Roman" w:hAnsi="Times New Roman"/>
            <w:b w:val="false"/>
            <w:i w:val="false"/>
            <w:color w:val="000000"/>
            <w:sz w:val="22"/>
          </w:rPr>
          <w:t>24.300(8)</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new or modified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24.300(10)</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of the applicable provisions of this rule shall constitute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stationary source subject to this rule shall be subject to applicable federal requirements for a major source, including </w:t>
      </w:r>
      <w:hyperlink r:id="rId251">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 xml:space="preserve">(455B) through </w:t>
      </w:r>
      <w:hyperlink r:id="rId252">
        <w:r>
          <w:rPr>
            <w:rStyle w:val="Hyperlink"/>
            <w:rFonts w:ascii="Times New Roman" w:hAnsi="Times New Roman"/>
            <w:b w:val="false"/>
            <w:i w:val="false"/>
            <w:color w:val="000000"/>
            <w:sz w:val="22"/>
          </w:rPr>
          <w:t>567—24.116</w:t>
        </w:r>
      </w:hyperlink>
      <w:r>
        <w:rPr>
          <w:rFonts w:ascii="Times New Roman" w:hAnsi="Times New Roman"/>
          <w:b w:val="false"/>
          <w:i w:val="false"/>
          <w:color w:val="000000"/>
          <w:sz w:val="22"/>
        </w:rPr>
        <w:t>(455B) when the conditions specified in either subparagraph (1) or (2) below,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stationary source exceeds a limit specified in </w:t>
      </w:r>
      <w:hyperlink r:id="rId253">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on the first day following every 12-month rolling period in which the owner or operator cannot demonstrate that the stationary source is in compliance with the limits in </w:t>
      </w:r>
      <w:hyperlink r:id="rId254">
        <w:r>
          <w:rPr>
            <w:rStyle w:val="Hyperlink"/>
            <w:rFonts w:ascii="Times New Roman" w:hAnsi="Times New Roman"/>
            <w:b w:val="false"/>
            <w:i w:val="false"/>
            <w:color w:val="000000"/>
            <w:sz w:val="22"/>
          </w:rPr>
          <w:t>24.300(6)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24.300(11)</w:t>
      </w:r>
      <w:r>
        <w:rPr>
          <w:rFonts w:ascii="Times New Roman" w:hAnsi="Times New Roman"/>
          <w:b w:val="false"/>
          <w:i w:val="false"/>
          <w:color w:val="000000"/>
          <w:sz w:val="22"/>
        </w:rPr>
        <w:t> </w:t>
      </w:r>
      <w:r>
        <w:rPr>
          <w:rFonts w:ascii="Times New Roman" w:hAnsi="Times New Roman"/>
          <w:b w:val="false"/>
          <w:i/>
          <w:color w:val="000000"/>
          <w:sz w:val="22"/>
        </w:rPr>
        <w:t xml:space="preserve">Suspension, termination, and revocation of an operating permit by rule for small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Registrations may be terminated, modified, revoked, or reissued for cause. The following examples shall be considered cause for the suspension, modification, revocation, or reissuance of an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has reasonable cause to believe that the operating permit by rule for small sources was obtained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registering for the operating permit by rule for small sources failed to disclose a material fact required by the registration form or the rules applicable to the operating permit by rule for small sources, of which the applicant had or should have had knowledge at the time the registration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the operating permit by rule for small sources have been or are being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the source has failed to pay an administrative, civil or criminal penalty for violations of the operating permit by rule for small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suspends, terminates, or revokes an operating permit by rule for small sources under this rule, the notice of such action shall be served on the applicant by certified mail, return receipt requested. The notice shall include a statement detailing the grounds for the action sought, and the proceeding shall in all other respects comply with the requirements of </w:t>
      </w:r>
      <w:hyperlink r:id="rId255">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24.300(12)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The new owner shall notify the department in writing no later than 30 days after the change of ownership of equipment covered by an operating permit by rule for small sources. The notification to the department shall be mailed to Air Quality Bureau, Iowa Department of Natural Resources, 6200 Park Avenue, Suite 200, Des Moines, Iowa 50312,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the change of ownership.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6">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57">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12/12/80, Notice 5/28/80—published 1/7/81, effective 2/11/81]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ARC 9154B</w:t>
      </w:r>
      <w:r>
        <w:rPr>
          <w:rFonts w:ascii="Times New Roman" w:hAnsi="Times New Roman"/>
          <w:b w:val="false"/>
          <w:i w:val="false"/>
          <w:color w:val="000000"/>
          <w:sz w:val="21"/>
        </w:rPr>
        <w:t xml:space="preserve"> (Notice ARC 8845B, IAB 6/16/10)</w:t>
      </w:r>
      <w:r>
        <w:rPr>
          <w:rFonts w:ascii="Times New Roman" w:hAnsi="Times New Roman"/>
          <w:b w:val="false"/>
          <w:i w:val="false"/>
          <w:color w:val="000000"/>
          <w:sz w:val="21"/>
        </w:rPr>
        <w:t>, IAB 10/20/10, effective 11/24/10]</w:t>
      </w:r>
    </w:p>
    <w:p>
      <w:pPr>
        <w:spacing w:before="0" w:after="0"/>
        <w:ind w:left="120"/>
        <w:jc w:val="center"/>
      </w:pPr>
      <w:r>
        <w:rPr>
          <w:rFonts w:ascii="Times New Roman" w:hAnsi="Times New Roman"/>
          <w:b w:val="false"/>
          <w:i w:val="false"/>
          <w:color w:val="000000"/>
          <w:sz w:val="21"/>
        </w:rPr>
        <w:t>[Filed ARC 7953C</w:t>
      </w:r>
      <w:r>
        <w:rPr>
          <w:rFonts w:ascii="Times New Roman" w:hAnsi="Times New Roman"/>
          <w:b w:val="false"/>
          <w:i w:val="false"/>
          <w:color w:val="000000"/>
          <w:sz w:val="21"/>
        </w:rPr>
        <w:t xml:space="preserve"> (Notice ARC 7213C,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7/23/25]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22.1.pdf" Type="http://schemas.openxmlformats.org/officeDocument/2006/relationships/hyperlink" Id="rId5"/>
    <Relationship TargetMode="External" Target="https://www.legis.iowa.gov/docs/iac/rule/567.23.1.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rule/567.23.1.pdf" Type="http://schemas.openxmlformats.org/officeDocument/2006/relationships/hyperlink" Id="rId8"/>
    <Relationship TargetMode="External" Target="https://www.legis.iowa.gov/docs/iac/chapter/567.23.pdf" Type="http://schemas.openxmlformats.org/officeDocument/2006/relationships/hyperlink" Id="rId9"/>
    <Relationship TargetMode="External" Target="https://www.legis.iowa.gov/docs/iac/rule/567.24.100.pdf" Type="http://schemas.openxmlformats.org/officeDocument/2006/relationships/hyperlink" Id="rId10"/>
    <Relationship TargetMode="External" Target="https://www.legis.iowa.gov/docs/iac/rule/567.22.10.pdf" Type="http://schemas.openxmlformats.org/officeDocument/2006/relationships/hyperlink" Id="rId11"/>
    <Relationship TargetMode="External" Target="https://www.legis.iowa.gov/docs/iac/chapter/567.24.pdf" Type="http://schemas.openxmlformats.org/officeDocument/2006/relationships/hyperlink" Id="rId12"/>
    <Relationship TargetMode="External" Target="https://www.legis.iowa.gov/docs/iac/rule/567.22.1.pdf" Type="http://schemas.openxmlformats.org/officeDocument/2006/relationships/hyperlink" Id="rId13"/>
    <Relationship TargetMode="External" Target="https://www.legis.iowa.gov/docs/iac/rule/567.22.1.pdf" Type="http://schemas.openxmlformats.org/officeDocument/2006/relationships/hyperlink" Id="rId14"/>
    <Relationship TargetMode="External" Target="https://www.legis.iowa.gov/docs/iac/rule/567.22.1.pdf" Type="http://schemas.openxmlformats.org/officeDocument/2006/relationships/hyperlink" Id="rId15"/>
    <Relationship TargetMode="External" Target="https://www.legis.iowa.gov/docs/iac/rule/567.23.1.pdf" Type="http://schemas.openxmlformats.org/officeDocument/2006/relationships/hyperlink" Id="rId16"/>
    <Relationship TargetMode="External" Target="https://www.legis.iowa.gov/docs/iac/rule/567.23.1.pdf" Type="http://schemas.openxmlformats.org/officeDocument/2006/relationships/hyperlink" Id="rId17"/>
    <Relationship TargetMode="External" Target="https://www.legis.iowa.gov/docs/iac/rule/567.23.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3.1.pdf" Type="http://schemas.openxmlformats.org/officeDocument/2006/relationships/hyperlink" Id="rId21"/>
    <Relationship TargetMode="External" Target="https://www.legis.iowa.gov/docs/iac/rule/567.23.1.pdf" Type="http://schemas.openxmlformats.org/officeDocument/2006/relationships/hyperlink" Id="rId22"/>
    <Relationship TargetMode="External" Target="https://www.legis.iowa.gov/docs/iac/rule/567.23.1.pdf" Type="http://schemas.openxmlformats.org/officeDocument/2006/relationships/hyperlink" Id="rId23"/>
    <Relationship TargetMode="External" Target="https://www.legis.iowa.gov/docs/iac/rule/567.23.1.pdf" Type="http://schemas.openxmlformats.org/officeDocument/2006/relationships/hyperlink" Id="rId24"/>
    <Relationship TargetMode="External" Target="https://www.legis.iowa.gov/docs/iac/rule/567.23.1.pdf" Type="http://schemas.openxmlformats.org/officeDocument/2006/relationships/hyperlink" Id="rId25"/>
    <Relationship TargetMode="External" Target="https://www.legis.iowa.gov/docs/iac/rule/567.24.111.pdf" Type="http://schemas.openxmlformats.org/officeDocument/2006/relationships/hyperlink" Id="rId26"/>
    <Relationship TargetMode="External" Target="https://www.legis.iowa.gov/docs/iac/rule/567.24.120.pdf" Type="http://schemas.openxmlformats.org/officeDocument/2006/relationships/hyperlink" Id="rId27"/>
    <Relationship TargetMode="External" Target="https://www.legis.iowa.gov/docs/iac/rule/567.24.146.pdf" Type="http://schemas.openxmlformats.org/officeDocument/2006/relationships/hyperlink" Id="rId28"/>
    <Relationship TargetMode="External" Target="https://www.legis.iowa.gov/docs/iac/rule/567.22.10.pdf" Type="http://schemas.openxmlformats.org/officeDocument/2006/relationships/hyperlink" Id="rId29"/>
    <Relationship TargetMode="External" Target="https://www.legis.iowa.gov/docs/iac/chapter/567.30.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rule/567.24.102.pdf" Type="http://schemas.openxmlformats.org/officeDocument/2006/relationships/hyperlink" Id="rId32"/>
    <Relationship TargetMode="External" Target="https://www.legis.iowa.gov/docs/iac/chapter/567.30.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rule/567.23.1.pdf" Type="http://schemas.openxmlformats.org/officeDocument/2006/relationships/hyperlink" Id="rId37"/>
    <Relationship TargetMode="External" Target="https://www.legis.iowa.gov/docs/iac/rule/567.24.101.pdf" Type="http://schemas.openxmlformats.org/officeDocument/2006/relationships/hyperlink" Id="rId38"/>
    <Relationship TargetMode="External" Target="https://www.legis.iowa.gov/docs/iac/rule/567.24.101.pdf" Type="http://schemas.openxmlformats.org/officeDocument/2006/relationships/hyperlink" Id="rId39"/>
    <Relationship TargetMode="External" Target="https://www.legis.iowa.gov/docs/iac/rule/567.24.102.pdf" Type="http://schemas.openxmlformats.org/officeDocument/2006/relationships/hyperlink" Id="rId40"/>
    <Relationship TargetMode="External" Target="https://www.legis.iowa.gov/docs/iac/rule/567.23.1.pdf" Type="http://schemas.openxmlformats.org/officeDocument/2006/relationships/hyperlink" Id="rId41"/>
    <Relationship TargetMode="External" Target="https://www.legis.iowa.gov/docs/iac/rule/567.23.1.pdf" Type="http://schemas.openxmlformats.org/officeDocument/2006/relationships/hyperlink" Id="rId42"/>
    <Relationship TargetMode="External" Target="https://www.legis.iowa.gov/docs/iac/rule/567.23.1.pdf" Type="http://schemas.openxmlformats.org/officeDocument/2006/relationships/hyperlink" Id="rId43"/>
    <Relationship TargetMode="External" Target="https://www.legis.iowa.gov/docs/iac/rule/567.23.1.pdf" Type="http://schemas.openxmlformats.org/officeDocument/2006/relationships/hyperlink" Id="rId44"/>
    <Relationship TargetMode="External" Target="https://www.legis.iowa.gov/docs/iac/rule/567.23.1.pdf" Type="http://schemas.openxmlformats.org/officeDocument/2006/relationships/hyperlink" Id="rId45"/>
    <Relationship TargetMode="External" Target="https://www.legis.iowa.gov/docs/iac/rule/567.23.1.pdf" Type="http://schemas.openxmlformats.org/officeDocument/2006/relationships/hyperlink" Id="rId46"/>
    <Relationship TargetMode="External" Target="https://www.legis.iowa.gov/docs/iac/rule/567.23.1.pdf" Type="http://schemas.openxmlformats.org/officeDocument/2006/relationships/hyperlink" Id="rId47"/>
    <Relationship TargetMode="External" Target="https://www.legis.iowa.gov/docs/iac/rule/567.30.4.pdf" Type="http://schemas.openxmlformats.org/officeDocument/2006/relationships/hyperlink" Id="rId48"/>
    <Relationship TargetMode="External" Target="https://www.legis.iowa.gov/docs/ico/chapter/198.3.pdf" Type="http://schemas.openxmlformats.org/officeDocument/2006/relationships/hyperlink" Id="rId49"/>
    <Relationship TargetMode="External" Target="https://www.legis.iowa.gov/docs/ico/chapter/172D.1.pdf" Type="http://schemas.openxmlformats.org/officeDocument/2006/relationships/hyperlink" Id="rId50"/>
    <Relationship TargetMode="External" Target="https://www.legis.iowa.gov/docs/iac/rule/567.23.2.pdf" Type="http://schemas.openxmlformats.org/officeDocument/2006/relationships/hyperlink" Id="rId51"/>
    <Relationship TargetMode="External" Target="https://www.legis.iowa.gov/docs/iac/rule/567.22.1.pdf" Type="http://schemas.openxmlformats.org/officeDocument/2006/relationships/hyperlink" Id="rId52"/>
    <Relationship TargetMode="External" Target="https://www.legis.iowa.gov/docs/iac/rule/567.22.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4.100.pdf" Type="http://schemas.openxmlformats.org/officeDocument/2006/relationships/hyperlink" Id="rId55"/>
    <Relationship TargetMode="External" Target="https://www.legis.iowa.gov/docs/iac/rule/567.22.1.pdf" Type="http://schemas.openxmlformats.org/officeDocument/2006/relationships/hyperlink" Id="rId56"/>
    <Relationship TargetMode="External" Target="https://www.legis.iowa.gov/docs/iac/rule/567.22.1.pdf" Type="http://schemas.openxmlformats.org/officeDocument/2006/relationships/hyperlink" Id="rId57"/>
    <Relationship TargetMode="External" Target="https://www.legis.iowa.gov/docs/iac/rule/567.24.103.pdf" Type="http://schemas.openxmlformats.org/officeDocument/2006/relationships/hyperlink" Id="rId58"/>
    <Relationship TargetMode="External" Target="https://www.legis.iowa.gov/docs/iac/rule/567.22.1.pdf" Type="http://schemas.openxmlformats.org/officeDocument/2006/relationships/hyperlink" Id="rId59"/>
    <Relationship TargetMode="External" Target="https://www.legis.iowa.gov/docs/iac/rule/567.22.1.pdf" Type="http://schemas.openxmlformats.org/officeDocument/2006/relationships/hyperlink" Id="rId60"/>
    <Relationship TargetMode="External" Target="https://www.legis.iowa.gov/docs/iac/rule/567.24.103.pdf" Type="http://schemas.openxmlformats.org/officeDocument/2006/relationships/hyperlink" Id="rId61"/>
    <Relationship TargetMode="External" Target="https://www.legis.iowa.gov/docs/iac/rule/567.24.103.pdf" Type="http://schemas.openxmlformats.org/officeDocument/2006/relationships/hyperlink" Id="rId62"/>
    <Relationship TargetMode="External" Target="https://www.legis.iowa.gov/docs/iac/rule/567.24.110.pdf" Type="http://schemas.openxmlformats.org/officeDocument/2006/relationships/hyperlink" Id="rId63"/>
    <Relationship TargetMode="External" Target="https://www.legis.iowa.gov/docs/iac/rule/567.24.101.pdf" Type="http://schemas.openxmlformats.org/officeDocument/2006/relationships/hyperlink" Id="rId64"/>
    <Relationship TargetMode="External" Target="https://www.legis.iowa.gov/docs/iac/chapter/567.30.pdf" Type="http://schemas.openxmlformats.org/officeDocument/2006/relationships/hyperlink" Id="rId65"/>
    <Relationship TargetMode="External" Target="https://www.legis.iowa.gov/docs/iac/rule/567.24.4.pdf" Type="http://schemas.openxmlformats.org/officeDocument/2006/relationships/hyperlink" Id="rId66"/>
    <Relationship TargetMode="External" Target="https://www.legis.iowa.gov/docs/iac/rule/567.33.3.pdf" Type="http://schemas.openxmlformats.org/officeDocument/2006/relationships/hyperlink" Id="rId67"/>
    <Relationship TargetMode="External" Target="https://www.legis.iowa.gov/docs/iac/rule/567.24.5.pdf" Type="http://schemas.openxmlformats.org/officeDocument/2006/relationships/hyperlink" Id="rId68"/>
    <Relationship TargetMode="External" Target="https://www.legis.iowa.gov/docs/iac/rule/567.31.3.pdf" Type="http://schemas.openxmlformats.org/officeDocument/2006/relationships/hyperlink" Id="rId69"/>
    <Relationship TargetMode="External" Target="https://www.legis.iowa.gov/docs/iac/rule/567.24.110.pdf" Type="http://schemas.openxmlformats.org/officeDocument/2006/relationships/hyperlink" Id="rId70"/>
    <Relationship TargetMode="External" Target="https://www.legis.iowa.gov/docs/iac/rule/567.24.110.pdf" Type="http://schemas.openxmlformats.org/officeDocument/2006/relationships/hyperlink" Id="rId71"/>
    <Relationship TargetMode="External" Target="https://www.legis.iowa.gov/docs/iac/rule/567.24.111.pdf" Type="http://schemas.openxmlformats.org/officeDocument/2006/relationships/hyperlink" Id="rId72"/>
    <Relationship TargetMode="External" Target="https://www.legis.iowa.gov/docs/iac/rule/567.24.111.pdf" Type="http://schemas.openxmlformats.org/officeDocument/2006/relationships/hyperlink" Id="rId73"/>
    <Relationship TargetMode="External" Target="https://www.legis.iowa.gov/docs/iac/rule/567.24.112.pdf" Type="http://schemas.openxmlformats.org/officeDocument/2006/relationships/hyperlink" Id="rId74"/>
    <Relationship TargetMode="External" Target="https://www.legis.iowa.gov/docs/iac/rule/567.24.112.pdf" Type="http://schemas.openxmlformats.org/officeDocument/2006/relationships/hyperlink" Id="rId75"/>
    <Relationship TargetMode="External" Target="https://www.legis.iowa.gov/docs/iac/rule/567.24.113.pdf" Type="http://schemas.openxmlformats.org/officeDocument/2006/relationships/hyperlink" Id="rId76"/>
    <Relationship TargetMode="External" Target="https://www.legis.iowa.gov/docs/iac/rule/567.24.113.pdf" Type="http://schemas.openxmlformats.org/officeDocument/2006/relationships/hyperlink" Id="rId77"/>
    <Relationship TargetMode="External" Target="https://www.legis.iowa.gov/docs/iac/rule/567.24.105.pdf" Type="http://schemas.openxmlformats.org/officeDocument/2006/relationships/hyperlink" Id="rId78"/>
    <Relationship TargetMode="External" Target="https://www.legis.iowa.gov/docs/iac/rule/567.30.4.pdf" Type="http://schemas.openxmlformats.org/officeDocument/2006/relationships/hyperlink" Id="rId79"/>
    <Relationship TargetMode="External" Target="https://www.legis.iowa.gov/docs/iac/rule/567.24.101.pdf" Type="http://schemas.openxmlformats.org/officeDocument/2006/relationships/hyperlink" Id="rId80"/>
    <Relationship TargetMode="External" Target="https://www.legis.iowa.gov/docs/iac/rule/567.24.101.pdf" Type="http://schemas.openxmlformats.org/officeDocument/2006/relationships/hyperlink" Id="rId81"/>
    <Relationship TargetMode="External" Target="https://www.legis.iowa.gov/docs/iac/rule/567.24.103.pdf" Type="http://schemas.openxmlformats.org/officeDocument/2006/relationships/hyperlink" Id="rId82"/>
    <Relationship TargetMode="External" Target="https://www.legis.iowa.gov/docs/iac/rule/567.24.128.pdf" Type="http://schemas.openxmlformats.org/officeDocument/2006/relationships/hyperlink" Id="rId83"/>
    <Relationship TargetMode="External" Target="https://www.legis.iowa.gov/docs/iac/rule/567.24.105.pdf" Type="http://schemas.openxmlformats.org/officeDocument/2006/relationships/hyperlink" Id="rId84"/>
    <Relationship TargetMode="External" Target="https://www.legis.iowa.gov/docs/iac/rule/567.24.108.pdf" Type="http://schemas.openxmlformats.org/officeDocument/2006/relationships/hyperlink" Id="rId85"/>
    <Relationship TargetMode="External" Target="https://www.legis.iowa.gov/docs/iac/rule/567.24.108.pdf" Type="http://schemas.openxmlformats.org/officeDocument/2006/relationships/hyperlink" Id="rId86"/>
    <Relationship TargetMode="External" Target="https://www.legis.iowa.gov/docs/iac/rule/567.24.112.pdf" Type="http://schemas.openxmlformats.org/officeDocument/2006/relationships/hyperlink" Id="rId87"/>
    <Relationship TargetMode="External" Target="https://www.legis.iowa.gov/docs/iac/rule/567.24.107.pdf" Type="http://schemas.openxmlformats.org/officeDocument/2006/relationships/hyperlink" Id="rId88"/>
    <Relationship TargetMode="External" Target="https://www.legis.iowa.gov/docs/iac/rule/567.24.108.pdf" Type="http://schemas.openxmlformats.org/officeDocument/2006/relationships/hyperlink" Id="rId89"/>
    <Relationship TargetMode="External" Target="https://www.legis.iowa.gov/docs/iac/rule/567.24.108.pdf" Type="http://schemas.openxmlformats.org/officeDocument/2006/relationships/hyperlink" Id="rId90"/>
    <Relationship TargetMode="External" Target="https://www.legis.iowa.gov/docs/iac/rule/567.24.108.pdf" Type="http://schemas.openxmlformats.org/officeDocument/2006/relationships/hyperlink" Id="rId91"/>
    <Relationship TargetMode="External" Target="https://www.legis.iowa.gov/docs/iac/rule/567.23.1.pdf" Type="http://schemas.openxmlformats.org/officeDocument/2006/relationships/hyperlink" Id="rId92"/>
    <Relationship TargetMode="External" Target="https://www.legis.iowa.gov/docs/iac/rule/567.24.128.pdf" Type="http://schemas.openxmlformats.org/officeDocument/2006/relationships/hyperlink" Id="rId93"/>
    <Relationship TargetMode="External" Target="https://www.legis.iowa.gov/docs/iac/rule/567.24.129.pdf" Type="http://schemas.openxmlformats.org/officeDocument/2006/relationships/hyperlink" Id="rId94"/>
    <Relationship TargetMode="External" Target="https://www.legis.iowa.gov/docs/iac/rule/567.24.105.pdf" Type="http://schemas.openxmlformats.org/officeDocument/2006/relationships/hyperlink" Id="rId95"/>
    <Relationship TargetMode="External" Target="https://www.legis.iowa.gov/docs/iac/chapter/567.30.pdf" Type="http://schemas.openxmlformats.org/officeDocument/2006/relationships/hyperlink" Id="rId96"/>
    <Relationship TargetMode="External" Target="https://www.legis.iowa.gov/docs/iac/rule/567.24.109.pdf" Type="http://schemas.openxmlformats.org/officeDocument/2006/relationships/hyperlink" Id="rId97"/>
    <Relationship TargetMode="External" Target="https://www.legis.iowa.gov/docs/iac/rule/567.24.112.pdf" Type="http://schemas.openxmlformats.org/officeDocument/2006/relationships/hyperlink" Id="rId98"/>
    <Relationship TargetMode="External" Target="https://www.legis.iowa.gov/docs/iac/rule/567.24.107.pdf" Type="http://schemas.openxmlformats.org/officeDocument/2006/relationships/hyperlink" Id="rId99"/>
    <Relationship TargetMode="External" Target="https://www.legis.iowa.gov/docs/iac/rule/567.24.107.pdf" Type="http://schemas.openxmlformats.org/officeDocument/2006/relationships/hyperlink" Id="rId100"/>
    <Relationship TargetMode="External" Target="https://www.legis.iowa.gov/docs/iac/rule/567.24.107.pdf" Type="http://schemas.openxmlformats.org/officeDocument/2006/relationships/hyperlink" Id="rId101"/>
    <Relationship TargetMode="External" Target="https://www.legis.iowa.gov/docs/iac/rule/567.24.107.pdf" Type="http://schemas.openxmlformats.org/officeDocument/2006/relationships/hyperlink" Id="rId102"/>
    <Relationship TargetMode="External" Target="https://www.legis.iowa.gov/docs/iac/rule/567.24.107.pdf" Type="http://schemas.openxmlformats.org/officeDocument/2006/relationships/hyperlink" Id="rId103"/>
    <Relationship TargetMode="External" Target="https://www.legis.iowa.gov/docs/iac/rule/567.22.1.pdf" Type="http://schemas.openxmlformats.org/officeDocument/2006/relationships/hyperlink" Id="rId104"/>
    <Relationship TargetMode="External" Target="https://www.legis.iowa.gov/docs/iac/rule/567.23.1.pdf" Type="http://schemas.openxmlformats.org/officeDocument/2006/relationships/hyperlink" Id="rId105"/>
    <Relationship TargetMode="External" Target="https://www.legis.iowa.gov/docs/iac/rule/567.24.104.pdf" Type="http://schemas.openxmlformats.org/officeDocument/2006/relationships/hyperlink" Id="rId106"/>
    <Relationship TargetMode="External" Target="https://www.legis.iowa.gov/docs/iac/rule/567.24.107.pdf" Type="http://schemas.openxmlformats.org/officeDocument/2006/relationships/hyperlink" Id="rId107"/>
    <Relationship TargetMode="External" Target="https://www.legis.iowa.gov/docs/iac/rule/567.22.1.pdf" Type="http://schemas.openxmlformats.org/officeDocument/2006/relationships/hyperlink" Id="rId108"/>
    <Relationship TargetMode="External" Target="https://www.legis.iowa.gov/docs/iac/chapter/561.2.pdf" Type="http://schemas.openxmlformats.org/officeDocument/2006/relationships/hyperlink" Id="rId109"/>
    <Relationship TargetMode="External" Target="https://www.legis.iowa.gov/docs/iac/rule/567.23.1.pdf" Type="http://schemas.openxmlformats.org/officeDocument/2006/relationships/hyperlink" Id="rId110"/>
    <Relationship TargetMode="External" Target="https://www.legis.iowa.gov/docs/iac/rule/567.24.107.pdf" Type="http://schemas.openxmlformats.org/officeDocument/2006/relationships/hyperlink" Id="rId111"/>
    <Relationship TargetMode="External" Target="https://www.legis.iowa.gov/docs/iac/rule/567.24.107.pdf" Type="http://schemas.openxmlformats.org/officeDocument/2006/relationships/hyperlink" Id="rId112"/>
    <Relationship TargetMode="External" Target="https://www.legis.iowa.gov/docs/iac/rule/567.24.107.pdf" Type="http://schemas.openxmlformats.org/officeDocument/2006/relationships/hyperlink" Id="rId113"/>
    <Relationship TargetMode="External" Target="https://www.legis.iowa.gov/docs/iac/rule/567.24.112.pdf" Type="http://schemas.openxmlformats.org/officeDocument/2006/relationships/hyperlink" Id="rId114"/>
    <Relationship TargetMode="External" Target="https://www.legis.iowa.gov/docs/iac/rule/567.24.107.pdf" Type="http://schemas.openxmlformats.org/officeDocument/2006/relationships/hyperlink" Id="rId115"/>
    <Relationship TargetMode="External" Target="https://www.legis.iowa.gov/docs/iac/rule/567.24.108.pdf" Type="http://schemas.openxmlformats.org/officeDocument/2006/relationships/hyperlink" Id="rId116"/>
    <Relationship TargetMode="External" Target="https://www.legis.iowa.gov/docs/iac/rule/567.24.107.pdf" Type="http://schemas.openxmlformats.org/officeDocument/2006/relationships/hyperlink" Id="rId117"/>
    <Relationship TargetMode="External" Target="https://www.legis.iowa.gov/docs/iac/rule/567.30.4.pdf" Type="http://schemas.openxmlformats.org/officeDocument/2006/relationships/hyperlink" Id="rId118"/>
    <Relationship TargetMode="External" Target="https://www.legis.iowa.gov/docs/iac/rule/567.24.108.pdf" Type="http://schemas.openxmlformats.org/officeDocument/2006/relationships/hyperlink" Id="rId119"/>
    <Relationship TargetMode="External" Target="https://www.legis.iowa.gov/docs/iac/rule/567.24.108.pdf" Type="http://schemas.openxmlformats.org/officeDocument/2006/relationships/hyperlink" Id="rId120"/>
    <Relationship TargetMode="External" Target="https://www.legis.iowa.gov/docs/iac/rule/567.24.108.pdf" Type="http://schemas.openxmlformats.org/officeDocument/2006/relationships/hyperlink" Id="rId121"/>
    <Relationship TargetMode="External" Target="https://www.legis.iowa.gov/docs/iac/rule/567.24.108.pdf" Type="http://schemas.openxmlformats.org/officeDocument/2006/relationships/hyperlink" Id="rId122"/>
    <Relationship TargetMode="External" Target="https://www.legis.iowa.gov/docs/iac/rule/567.24.108.pdf" Type="http://schemas.openxmlformats.org/officeDocument/2006/relationships/hyperlink" Id="rId123"/>
    <Relationship TargetMode="External" Target="https://www.legis.iowa.gov/docs/iac/rule/567.24.108.pdf" Type="http://schemas.openxmlformats.org/officeDocument/2006/relationships/hyperlink" Id="rId124"/>
    <Relationship TargetMode="External" Target="https://www.legis.iowa.gov/docs/iac/rule/567.24.108.pdf" Type="http://schemas.openxmlformats.org/officeDocument/2006/relationships/hyperlink" Id="rId125"/>
    <Relationship TargetMode="External" Target="https://www.legis.iowa.gov/docs/iac/rule/567.24.107.pdf" Type="http://schemas.openxmlformats.org/officeDocument/2006/relationships/hyperlink" Id="rId126"/>
    <Relationship TargetMode="External" Target="https://www.legis.iowa.gov/docs/iac/rule/567.24.105.pdf" Type="http://schemas.openxmlformats.org/officeDocument/2006/relationships/hyperlink" Id="rId127"/>
    <Relationship TargetMode="External" Target="https://www.legis.iowa.gov/docs/iac/rule/567.24.105.pdf" Type="http://schemas.openxmlformats.org/officeDocument/2006/relationships/hyperlink" Id="rId128"/>
    <Relationship TargetMode="External" Target="https://www.legis.iowa.gov/docs/iac/rule/567.24.105.pdf" Type="http://schemas.openxmlformats.org/officeDocument/2006/relationships/hyperlink" Id="rId129"/>
    <Relationship TargetMode="External" Target="https://www.legis.iowa.gov/docs/iac/rule/567.24.105.pdf" Type="http://schemas.openxmlformats.org/officeDocument/2006/relationships/hyperlink" Id="rId130"/>
    <Relationship TargetMode="External" Target="https://www.legis.iowa.gov/docs/iac/rule/567.24.105.pdf" Type="http://schemas.openxmlformats.org/officeDocument/2006/relationships/hyperlink" Id="rId131"/>
    <Relationship TargetMode="External" Target="https://www.legis.iowa.gov/docs/iac/rule/567.24.108.pdf" Type="http://schemas.openxmlformats.org/officeDocument/2006/relationships/hyperlink" Id="rId132"/>
    <Relationship TargetMode="External" Target="https://www.legis.iowa.gov/docs/iac/rule/567.24.108.pdf" Type="http://schemas.openxmlformats.org/officeDocument/2006/relationships/hyperlink" Id="rId133"/>
    <Relationship TargetMode="External" Target="https://www.legis.iowa.gov/docs/iac/rule/567.24.140.pdf" Type="http://schemas.openxmlformats.org/officeDocument/2006/relationships/hyperlink" Id="rId134"/>
    <Relationship TargetMode="External" Target="https://www.legis.iowa.gov/docs/iac/rule/567.24.144.pdf" Type="http://schemas.openxmlformats.org/officeDocument/2006/relationships/hyperlink" Id="rId135"/>
    <Relationship TargetMode="External" Target="https://www.legis.iowa.gov/docs/iac/rule/567.24.110.pdf" Type="http://schemas.openxmlformats.org/officeDocument/2006/relationships/hyperlink" Id="rId136"/>
    <Relationship TargetMode="External" Target="https://www.legis.iowa.gov/docs/iac/rule/567.24.108.pdf" Type="http://schemas.openxmlformats.org/officeDocument/2006/relationships/hyperlink" Id="rId137"/>
    <Relationship TargetMode="External" Target="https://www.legis.iowa.gov/docs/iac/rule/567.24.113.pdf" Type="http://schemas.openxmlformats.org/officeDocument/2006/relationships/hyperlink" Id="rId138"/>
    <Relationship TargetMode="External" Target="https://www.legis.iowa.gov/docs/iac/rule/567.24.107.pdf" Type="http://schemas.openxmlformats.org/officeDocument/2006/relationships/hyperlink" Id="rId139"/>
    <Relationship TargetMode="External" Target="https://www.legis.iowa.gov/docs/iac/rule/567.24.107.pdf" Type="http://schemas.openxmlformats.org/officeDocument/2006/relationships/hyperlink" Id="rId140"/>
    <Relationship TargetMode="External" Target="https://www.legis.iowa.gov/docs/iac/rule/567.24.107.pdf" Type="http://schemas.openxmlformats.org/officeDocument/2006/relationships/hyperlink" Id="rId141"/>
    <Relationship TargetMode="External" Target="https://www.legis.iowa.gov/docs/iac/rule/567.24.107.pdf" Type="http://schemas.openxmlformats.org/officeDocument/2006/relationships/hyperlink" Id="rId142"/>
    <Relationship TargetMode="External" Target="https://www.legis.iowa.gov/docs/iac/rule/567.24.107.pdf" Type="http://schemas.openxmlformats.org/officeDocument/2006/relationships/hyperlink" Id="rId143"/>
    <Relationship TargetMode="External" Target="https://www.legis.iowa.gov/docs/iac/rule/567.24.107.pdf" Type="http://schemas.openxmlformats.org/officeDocument/2006/relationships/hyperlink" Id="rId144"/>
    <Relationship TargetMode="External" Target="https://www.legis.iowa.gov/docs/iac/rule/567.24.112.pdf" Type="http://schemas.openxmlformats.org/officeDocument/2006/relationships/hyperlink" Id="rId145"/>
    <Relationship TargetMode="External" Target="https://www.legis.iowa.gov/docs/iac/rule/567.24.112.pdf" Type="http://schemas.openxmlformats.org/officeDocument/2006/relationships/hyperlink" Id="rId146"/>
    <Relationship TargetMode="External" Target="https://www.legis.iowa.gov/docs/iac/rule/567.24.108.pdf" Type="http://schemas.openxmlformats.org/officeDocument/2006/relationships/hyperlink" Id="rId147"/>
    <Relationship TargetMode="External" Target="https://www.legis.iowa.gov/docs/iac/rule/567.24.113.pdf" Type="http://schemas.openxmlformats.org/officeDocument/2006/relationships/hyperlink" Id="rId148"/>
    <Relationship TargetMode="External" Target="https://www.legis.iowa.gov/docs/iac/rule/561.7.16.pdf" Type="http://schemas.openxmlformats.org/officeDocument/2006/relationships/hyperlink" Id="rId149"/>
    <Relationship TargetMode="External" Target="https://www.legis.iowa.gov/docs/iac/rule/567.24.104.pdf" Type="http://schemas.openxmlformats.org/officeDocument/2006/relationships/hyperlink" Id="rId150"/>
    <Relationship TargetMode="External" Target="https://www.legis.iowa.gov/docs/iac/rule/567.24.105.pdf" Type="http://schemas.openxmlformats.org/officeDocument/2006/relationships/hyperlink" Id="rId151"/>
    <Relationship TargetMode="External" Target="https://www.legis.iowa.gov/docs/iac/rule/567.24.120.pdf" Type="http://schemas.openxmlformats.org/officeDocument/2006/relationships/hyperlink" Id="rId152"/>
    <Relationship TargetMode="External" Target="https://www.legis.iowa.gov/docs/iac/rule/567.24.146.pdf" Type="http://schemas.openxmlformats.org/officeDocument/2006/relationships/hyperlink" Id="rId153"/>
    <Relationship TargetMode="External" Target="https://www.legis.iowa.gov/docs/iac/rule/567.24.100.pdf" Type="http://schemas.openxmlformats.org/officeDocument/2006/relationships/hyperlink" Id="rId154"/>
    <Relationship TargetMode="External" Target="https://www.legis.iowa.gov/docs/iac/rule/567.24.116.pdf" Type="http://schemas.openxmlformats.org/officeDocument/2006/relationships/hyperlink" Id="rId155"/>
    <Relationship TargetMode="External" Target="https://www.legis.iowa.gov/docs/iac/rule/567.24.131.pdf" Type="http://schemas.openxmlformats.org/officeDocument/2006/relationships/hyperlink" Id="rId156"/>
    <Relationship TargetMode="External" Target="https://www.legis.iowa.gov/docs/iac/rule/567.24.125.pdf" Type="http://schemas.openxmlformats.org/officeDocument/2006/relationships/hyperlink" Id="rId157"/>
    <Relationship TargetMode="External" Target="https://www.legis.iowa.gov/docs/iac/rule/567.24.100.pdf" Type="http://schemas.openxmlformats.org/officeDocument/2006/relationships/hyperlink" Id="rId158"/>
    <Relationship TargetMode="External" Target="https://www.legis.iowa.gov/docs/iac/rule/567.24.116.pdf" Type="http://schemas.openxmlformats.org/officeDocument/2006/relationships/hyperlink" Id="rId159"/>
    <Relationship TargetMode="External" Target="https://www.legis.iowa.gov/docs/iac/rule/567.24.135.pdf" Type="http://schemas.openxmlformats.org/officeDocument/2006/relationships/hyperlink" Id="rId160"/>
    <Relationship TargetMode="External" Target="https://www.legis.iowa.gov/docs/iac/rule/567.24.145.pdf" Type="http://schemas.openxmlformats.org/officeDocument/2006/relationships/hyperlink" Id="rId161"/>
    <Relationship TargetMode="External" Target="https://www.legis.iowa.gov/docs/iac/rule/567.24.107.pdf" Type="http://schemas.openxmlformats.org/officeDocument/2006/relationships/hyperlink" Id="rId162"/>
    <Relationship TargetMode="External" Target="https://www.legis.iowa.gov/docs/iac/rule/567.24.107.pdf" Type="http://schemas.openxmlformats.org/officeDocument/2006/relationships/hyperlink" Id="rId163"/>
    <Relationship TargetMode="External" Target="https://www.legis.iowa.gov/docs/iac/rule/567.24.100.pdf" Type="http://schemas.openxmlformats.org/officeDocument/2006/relationships/hyperlink" Id="rId164"/>
    <Relationship TargetMode="External" Target="https://www.legis.iowa.gov/docs/iac/rule/567.24.116.pdf" Type="http://schemas.openxmlformats.org/officeDocument/2006/relationships/hyperlink" Id="rId165"/>
    <Relationship TargetMode="External" Target="https://www.legis.iowa.gov/docs/iac/rule/567.24.133.pdf" Type="http://schemas.openxmlformats.org/officeDocument/2006/relationships/hyperlink" Id="rId166"/>
    <Relationship TargetMode="External" Target="https://www.legis.iowa.gov/docs/iac/rule/567.24.134.pdf" Type="http://schemas.openxmlformats.org/officeDocument/2006/relationships/hyperlink" Id="rId167"/>
    <Relationship TargetMode="External" Target="https://www.legis.iowa.gov/docs/iac/rule/567.24.138.pdf" Type="http://schemas.openxmlformats.org/officeDocument/2006/relationships/hyperlink" Id="rId168"/>
    <Relationship TargetMode="External" Target="https://www.legis.iowa.gov/docs/iac/rule/567.24.122.pdf" Type="http://schemas.openxmlformats.org/officeDocument/2006/relationships/hyperlink" Id="rId169"/>
    <Relationship TargetMode="External" Target="https://www.legis.iowa.gov/docs/iac/rule/567.25.2.pdf" Type="http://schemas.openxmlformats.org/officeDocument/2006/relationships/hyperlink" Id="rId170"/>
    <Relationship TargetMode="External" Target="https://www.legis.iowa.gov/docs/ico/chapter/17A.pdf" Type="http://schemas.openxmlformats.org/officeDocument/2006/relationships/hyperlink" Id="rId171"/>
    <Relationship TargetMode="External" Target="https://www.legis.iowa.gov/docs/iac/chapter/561.7.pdf" Type="http://schemas.openxmlformats.org/officeDocument/2006/relationships/hyperlink" Id="rId172"/>
    <Relationship TargetMode="External" Target="https://www.legis.iowa.gov/docs/iac/chapter/567.7.pdf" Type="http://schemas.openxmlformats.org/officeDocument/2006/relationships/hyperlink" Id="rId173"/>
    <Relationship TargetMode="External" Target="https://www.legis.iowa.gov/docs/iac/rule/567.24.125.pdf" Type="http://schemas.openxmlformats.org/officeDocument/2006/relationships/hyperlink" Id="rId174"/>
    <Relationship TargetMode="External" Target="https://www.legis.iowa.gov/docs/iac/rule/567.25.2.pdf" Type="http://schemas.openxmlformats.org/officeDocument/2006/relationships/hyperlink" Id="rId175"/>
    <Relationship TargetMode="External" Target="https://www.legis.iowa.gov/docs/iac/rule/567.24.107.pdf" Type="http://schemas.openxmlformats.org/officeDocument/2006/relationships/hyperlink" Id="rId176"/>
    <Relationship TargetMode="External" Target="https://www.legis.iowa.gov/docs/iac/rule/567.24.107.pdf" Type="http://schemas.openxmlformats.org/officeDocument/2006/relationships/hyperlink" Id="rId177"/>
    <Relationship TargetMode="External" Target="https://www.legis.iowa.gov/docs/iac/rule/567.24.140.pdf" Type="http://schemas.openxmlformats.org/officeDocument/2006/relationships/hyperlink" Id="rId178"/>
    <Relationship TargetMode="External" Target="https://www.legis.iowa.gov/docs/iac/rule/567.24.145.pdf" Type="http://schemas.openxmlformats.org/officeDocument/2006/relationships/hyperlink" Id="rId179"/>
    <Relationship TargetMode="External" Target="https://www.legis.iowa.gov/docs/iac/rule/567.24.143.pdf" Type="http://schemas.openxmlformats.org/officeDocument/2006/relationships/hyperlink" Id="rId180"/>
    <Relationship TargetMode="External" Target="https://www.legis.iowa.gov/docs/iac/rule/567.24.125.pdf" Type="http://schemas.openxmlformats.org/officeDocument/2006/relationships/hyperlink" Id="rId181"/>
    <Relationship TargetMode="External" Target="https://www.legis.iowa.gov/docs/iac/rule/567.24.131.pdf" Type="http://schemas.openxmlformats.org/officeDocument/2006/relationships/hyperlink" Id="rId182"/>
    <Relationship TargetMode="External" Target="https://www.legis.iowa.gov/docs/iac/rule/567.24.141.pdf" Type="http://schemas.openxmlformats.org/officeDocument/2006/relationships/hyperlink" Id="rId183"/>
    <Relationship TargetMode="External" Target="https://www.legis.iowa.gov/docs/iac/rule/567.24.142.pdf" Type="http://schemas.openxmlformats.org/officeDocument/2006/relationships/hyperlink" Id="rId184"/>
    <Relationship TargetMode="External" Target="https://www.legis.iowa.gov/docs/iac/rule/567.24.135.pdf" Type="http://schemas.openxmlformats.org/officeDocument/2006/relationships/hyperlink" Id="rId185"/>
    <Relationship TargetMode="External" Target="https://www.legis.iowa.gov/docs/iac/rule/567.24.139.pdf" Type="http://schemas.openxmlformats.org/officeDocument/2006/relationships/hyperlink" Id="rId186"/>
    <Relationship TargetMode="External" Target="https://www.legis.iowa.gov/docs/iac/rule/567.24.113.pdf" Type="http://schemas.openxmlformats.org/officeDocument/2006/relationships/hyperlink" Id="rId187"/>
    <Relationship TargetMode="External" Target="https://www.legis.iowa.gov/docs/iac/rule/567.24.113.pdf" Type="http://schemas.openxmlformats.org/officeDocument/2006/relationships/hyperlink" Id="rId188"/>
    <Relationship TargetMode="External" Target="https://www.legis.iowa.gov/docs/iac/rule/567.24.141.pdf" Type="http://schemas.openxmlformats.org/officeDocument/2006/relationships/hyperlink" Id="rId189"/>
    <Relationship TargetMode="External" Target="https://www.legis.iowa.gov/docs/iac/rule/567.24.140.pdf" Type="http://schemas.openxmlformats.org/officeDocument/2006/relationships/hyperlink" Id="rId190"/>
    <Relationship TargetMode="External" Target="https://www.legis.iowa.gov/docs/iac/rule/567.24.145.pdf" Type="http://schemas.openxmlformats.org/officeDocument/2006/relationships/hyperlink" Id="rId191"/>
    <Relationship TargetMode="External" Target="https://www.legis.iowa.gov/docs/iac/rule/567.24.142.pdf" Type="http://schemas.openxmlformats.org/officeDocument/2006/relationships/hyperlink" Id="rId192"/>
    <Relationship TargetMode="External" Target="https://www.legis.iowa.gov/docs/iac/rule/567.24.111.pdf" Type="http://schemas.openxmlformats.org/officeDocument/2006/relationships/hyperlink" Id="rId193"/>
    <Relationship TargetMode="External" Target="https://www.legis.iowa.gov/docs/iac/rule/567.24.131.pdf" Type="http://schemas.openxmlformats.org/officeDocument/2006/relationships/hyperlink" Id="rId194"/>
    <Relationship TargetMode="External" Target="https://www.legis.iowa.gov/docs/iac/rule/567.24.131.pdf" Type="http://schemas.openxmlformats.org/officeDocument/2006/relationships/hyperlink" Id="rId195"/>
    <Relationship TargetMode="External" Target="https://www.legis.iowa.gov/docs/iac/rule/567.24.125.pdf" Type="http://schemas.openxmlformats.org/officeDocument/2006/relationships/hyperlink" Id="rId196"/>
    <Relationship TargetMode="External" Target="https://www.legis.iowa.gov/docs/iac/rule/567.24.143.pdf" Type="http://schemas.openxmlformats.org/officeDocument/2006/relationships/hyperlink" Id="rId197"/>
    <Relationship TargetMode="External" Target="https://www.legis.iowa.gov/docs/iac/rule/567.24.143.pdf" Type="http://schemas.openxmlformats.org/officeDocument/2006/relationships/hyperlink" Id="rId198"/>
    <Relationship TargetMode="External" Target="https://www.legis.iowa.gov/docs/iac/rule/567.24.146.pdf" Type="http://schemas.openxmlformats.org/officeDocument/2006/relationships/hyperlink" Id="rId199"/>
    <Relationship TargetMode="External" Target="https://www.legis.iowa.gov/docs/iac/rule/567.25.2.pdf" Type="http://schemas.openxmlformats.org/officeDocument/2006/relationships/hyperlink" Id="rId200"/>
    <Relationship TargetMode="External" Target="https://www.legis.iowa.gov/docs/iac/rule/567.24.108.pdf" Type="http://schemas.openxmlformats.org/officeDocument/2006/relationships/hyperlink" Id="rId201"/>
    <Relationship TargetMode="External" Target="https://www.legis.iowa.gov/docs/iac/rule/567.24.300.pdf" Type="http://schemas.openxmlformats.org/officeDocument/2006/relationships/hyperlink" Id="rId202"/>
    <Relationship TargetMode="External" Target="https://www.legis.iowa.gov/docs/iac/rule/567.24.100.pdf" Type="http://schemas.openxmlformats.org/officeDocument/2006/relationships/hyperlink" Id="rId203"/>
    <Relationship TargetMode="External" Target="https://www.legis.iowa.gov/docs/iac/rule/567.24.300.pdf" Type="http://schemas.openxmlformats.org/officeDocument/2006/relationships/hyperlink" Id="rId204"/>
    <Relationship TargetMode="External" Target="https://www.legis.iowa.gov/docs/iac/rule/567.24.100.pdf" Type="http://schemas.openxmlformats.org/officeDocument/2006/relationships/hyperlink" Id="rId205"/>
    <Relationship TargetMode="External" Target="https://www.legis.iowa.gov/docs/iac/rule/567.24.3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4.300.pdf" Type="http://schemas.openxmlformats.org/officeDocument/2006/relationships/hyperlink" Id="rId208"/>
    <Relationship TargetMode="External" Target="https://www.legis.iowa.gov/docs/iac/rule/567.24.300.pdf" Type="http://schemas.openxmlformats.org/officeDocument/2006/relationships/hyperlink" Id="rId209"/>
    <Relationship TargetMode="External" Target="https://www.legis.iowa.gov/docs/iac/chapter/567.22.pdf" Type="http://schemas.openxmlformats.org/officeDocument/2006/relationships/hyperlink" Id="rId210"/>
    <Relationship TargetMode="External" Target="https://www.legis.iowa.gov/docs/iac/rule/567.24.300.pdf" Type="http://schemas.openxmlformats.org/officeDocument/2006/relationships/hyperlink" Id="rId211"/>
    <Relationship TargetMode="External" Target="https://www.legis.iowa.gov/docs/iac/rule/567.24.300.pdf" Type="http://schemas.openxmlformats.org/officeDocument/2006/relationships/hyperlink" Id="rId212"/>
    <Relationship TargetMode="External" Target="https://www.legis.iowa.gov/docs/iac/rule/567.23.1.pdf" Type="http://schemas.openxmlformats.org/officeDocument/2006/relationships/hyperlink" Id="rId213"/>
    <Relationship TargetMode="External" Target="https://www.legis.iowa.gov/docs/iac/rule/567.24.102.pdf" Type="http://schemas.openxmlformats.org/officeDocument/2006/relationships/hyperlink" Id="rId214"/>
    <Relationship TargetMode="External" Target="https://www.legis.iowa.gov/docs/iac/rule/567.24.102.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4.300.pdf" Type="http://schemas.openxmlformats.org/officeDocument/2006/relationships/hyperlink" Id="rId217"/>
    <Relationship TargetMode="External" Target="https://www.legis.iowa.gov/docs/iac/rule/567.23.1.pdf" Type="http://schemas.openxmlformats.org/officeDocument/2006/relationships/hyperlink" Id="rId218"/>
    <Relationship TargetMode="External" Target="https://www.legis.iowa.gov/docs/iac/rule/567.23.1.pdf" Type="http://schemas.openxmlformats.org/officeDocument/2006/relationships/hyperlink" Id="rId219"/>
    <Relationship TargetMode="External" Target="https://www.legis.iowa.gov/docs/iac/rule/567.24.102.pdf" Type="http://schemas.openxmlformats.org/officeDocument/2006/relationships/hyperlink" Id="rId220"/>
    <Relationship TargetMode="External" Target="https://www.legis.iowa.gov/docs/iac/rule/567.24.102.pdf" Type="http://schemas.openxmlformats.org/officeDocument/2006/relationships/hyperlink" Id="rId221"/>
    <Relationship TargetMode="External" Target="https://www.legis.iowa.gov/docs/iac/rule/567.24.300.pdf" Type="http://schemas.openxmlformats.org/officeDocument/2006/relationships/hyperlink" Id="rId222"/>
    <Relationship TargetMode="External" Target="https://www.legis.iowa.gov/docs/iac/rule/567.24.300.pdf" Type="http://schemas.openxmlformats.org/officeDocument/2006/relationships/hyperlink" Id="rId223"/>
    <Relationship TargetMode="External" Target="https://www.legis.iowa.gov/docs/iac/rule/567.24.300.pdf" Type="http://schemas.openxmlformats.org/officeDocument/2006/relationships/hyperlink" Id="rId224"/>
    <Relationship TargetMode="External" Target="https://www.legis.iowa.gov/docs/iac/rule/567.24.300.pdf" Type="http://schemas.openxmlformats.org/officeDocument/2006/relationships/hyperlink" Id="rId225"/>
    <Relationship TargetMode="External" Target="https://www.legis.iowa.gov/docs/iac/rule/567.24.300.pdf" Type="http://schemas.openxmlformats.org/officeDocument/2006/relationships/hyperlink" Id="rId226"/>
    <Relationship TargetMode="External" Target="https://www.legis.iowa.gov/docs/iac/rule/567.24.300.pdf" Type="http://schemas.openxmlformats.org/officeDocument/2006/relationships/hyperlink" Id="rId227"/>
    <Relationship TargetMode="External" Target="https://www.legis.iowa.gov/docs/iac/rule/567.24.300.pdf" Type="http://schemas.openxmlformats.org/officeDocument/2006/relationships/hyperlink" Id="rId228"/>
    <Relationship TargetMode="External" Target="https://www.legis.iowa.gov/docs/iac/rule/567.24.300.pdf" Type="http://schemas.openxmlformats.org/officeDocument/2006/relationships/hyperlink" Id="rId229"/>
    <Relationship TargetMode="External" Target="https://www.legis.iowa.gov/docs/iac/rule/567.24.300.pdf" Type="http://schemas.openxmlformats.org/officeDocument/2006/relationships/hyperlink" Id="rId230"/>
    <Relationship TargetMode="External" Target="https://www.legis.iowa.gov/docs/iac/rule/567.24.300.pdf" Type="http://schemas.openxmlformats.org/officeDocument/2006/relationships/hyperlink" Id="rId231"/>
    <Relationship TargetMode="External" Target="https://www.legis.iowa.gov/docs/iac/rule/567.24.300.pdf" Type="http://schemas.openxmlformats.org/officeDocument/2006/relationships/hyperlink" Id="rId232"/>
    <Relationship TargetMode="External" Target="https://www.legis.iowa.gov/docs/iac/rule/567.24.300.pdf" Type="http://schemas.openxmlformats.org/officeDocument/2006/relationships/hyperlink" Id="rId233"/>
    <Relationship TargetMode="External" Target="https://www.legis.iowa.gov/docs/iac/rule/567.24.300.pdf" Type="http://schemas.openxmlformats.org/officeDocument/2006/relationships/hyperlink" Id="rId234"/>
    <Relationship TargetMode="External" Target="https://www.legis.iowa.gov/docs/iac/rule/567.24.300.pdf" Type="http://schemas.openxmlformats.org/officeDocument/2006/relationships/hyperlink" Id="rId235"/>
    <Relationship TargetMode="External" Target="https://www.legis.iowa.gov/docs/iac/rule/567.22.8.pdf" Type="http://schemas.openxmlformats.org/officeDocument/2006/relationships/hyperlink" Id="rId236"/>
    <Relationship TargetMode="External" Target="https://www.legis.iowa.gov/docs/iac/rule/567.24.300.pdf" Type="http://schemas.openxmlformats.org/officeDocument/2006/relationships/hyperlink" Id="rId237"/>
    <Relationship TargetMode="External" Target="https://www.legis.iowa.gov/docs/iac/rule/567.24.104.pdf" Type="http://schemas.openxmlformats.org/officeDocument/2006/relationships/hyperlink" Id="rId238"/>
    <Relationship TargetMode="External" Target="https://www.legis.iowa.gov/docs/iac/rule/567.24.101.pdf" Type="http://schemas.openxmlformats.org/officeDocument/2006/relationships/hyperlink" Id="rId239"/>
    <Relationship TargetMode="External" Target="https://www.legis.iowa.gov/docs/iac/rule/567.24.101.pdf" Type="http://schemas.openxmlformats.org/officeDocument/2006/relationships/hyperlink" Id="rId240"/>
    <Relationship TargetMode="External" Target="https://www.legis.iowa.gov/docs/iac/rule/567.24.101.pdf" Type="http://schemas.openxmlformats.org/officeDocument/2006/relationships/hyperlink" Id="rId241"/>
    <Relationship TargetMode="External" Target="https://www.legis.iowa.gov/docs/iac/rule/567.24.300.pdf" Type="http://schemas.openxmlformats.org/officeDocument/2006/relationships/hyperlink" Id="rId242"/>
    <Relationship TargetMode="External" Target="https://www.legis.iowa.gov/docs/iac/rule/567.24.300.pdf" Type="http://schemas.openxmlformats.org/officeDocument/2006/relationships/hyperlink" Id="rId243"/>
    <Relationship TargetMode="External" Target="https://www.legis.iowa.gov/docs/iac/rule/567.24.100.pdf" Type="http://schemas.openxmlformats.org/officeDocument/2006/relationships/hyperlink" Id="rId244"/>
    <Relationship TargetMode="External" Target="https://www.legis.iowa.gov/docs/iac/rule/567.24.300.pdf" Type="http://schemas.openxmlformats.org/officeDocument/2006/relationships/hyperlink" Id="rId245"/>
    <Relationship TargetMode="External" Target="https://www.legis.iowa.gov/docs/iac/rule/567.24.300.pdf" Type="http://schemas.openxmlformats.org/officeDocument/2006/relationships/hyperlink" Id="rId246"/>
    <Relationship TargetMode="External" Target="https://www.legis.iowa.gov/docs/iac/rule/567.24.300.pdf" Type="http://schemas.openxmlformats.org/officeDocument/2006/relationships/hyperlink" Id="rId247"/>
    <Relationship TargetMode="External" Target="https://www.legis.iowa.gov/docs/iac/rule/567.24.300.pdf" Type="http://schemas.openxmlformats.org/officeDocument/2006/relationships/hyperlink" Id="rId248"/>
    <Relationship TargetMode="External" Target="https://www.legis.iowa.gov/docs/iac/rule/567.24.100.pdf" Type="http://schemas.openxmlformats.org/officeDocument/2006/relationships/hyperlink" Id="rId249"/>
    <Relationship TargetMode="External" Target="https://www.legis.iowa.gov/docs/iac/rule/567.24.300.pdf" Type="http://schemas.openxmlformats.org/officeDocument/2006/relationships/hyperlink" Id="rId250"/>
    <Relationship TargetMode="External" Target="https://www.legis.iowa.gov/docs/iac/rule/567.24.101.pdf" Type="http://schemas.openxmlformats.org/officeDocument/2006/relationships/hyperlink" Id="rId251"/>
    <Relationship TargetMode="External" Target="https://www.legis.iowa.gov/docs/iac/rule/567.24.116.pdf" Type="http://schemas.openxmlformats.org/officeDocument/2006/relationships/hyperlink" Id="rId252"/>
    <Relationship TargetMode="External" Target="https://www.legis.iowa.gov/docs/iac/rule/567.24.300.pdf" Type="http://schemas.openxmlformats.org/officeDocument/2006/relationships/hyperlink" Id="rId253"/>
    <Relationship TargetMode="External" Target="https://www.legis.iowa.gov/docs/iac/rule/567.24.300.pdf" Type="http://schemas.openxmlformats.org/officeDocument/2006/relationships/hyperlink" Id="rId254"/>
    <Relationship TargetMode="External" Target="https://www.legis.iowa.gov/docs/iac/rule/561.7.16.pdf" Type="http://schemas.openxmlformats.org/officeDocument/2006/relationships/hyperlink" Id="rId255"/>
    <Relationship TargetMode="External" Target="https://www.legis.iowa.gov/docs/ico/chapter/455B.133.pdf" Type="http://schemas.openxmlformats.org/officeDocument/2006/relationships/hyperlink" Id="rId256"/>
    <Relationship TargetMode="External" Target="https://www.legis.iowa.gov/docs/ico/chapter/455B.134.pdf" Type="http://schemas.openxmlformats.org/officeDocument/2006/relationships/hyperlink" Id="rId2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