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CONTROLLING AIR POLLUTION</w:t>
      </w:r>
    </w:p>
    <w:p>
      <w:pPr>
        <w:spacing w:before="0" w:after="0"/>
        <w:ind w:left="120"/>
        <w:jc w:val="center"/>
      </w:pPr>
      <w:r>
        <w:rPr>
          <w:rFonts w:ascii="Times New Roman" w:hAnsi="Times New Roman"/>
          <w:b w:val="false"/>
          <w:i w:val="false"/>
          <w:color w:val="000000"/>
          <w:sz w:val="14"/>
        </w:rPr>
        <w:t>[Prior to 7/1/83, DEQ Ch 3]</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567—22.1</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and permit requirements for new or existing stationary sources. </w:t>
      </w:r>
      <w:r>
        <w:rPr>
          <w:rFonts w:ascii="Times New Roman" w:hAnsi="Times New Roman"/>
          <w:b w:val="false"/>
          <w:i w:val="false"/>
          <w:color w:val="000000"/>
          <w:sz w:val="22"/>
        </w:rPr>
        <w:t xml:space="preserve">For the purpose of these rules and the rules in </w:t>
      </w:r>
      <w:hyperlink r:id="rId5">
        <w:r>
          <w:rPr>
            <w:rStyle w:val="Hyperlink"/>
            <w:rFonts w:ascii="Times New Roman" w:hAnsi="Times New Roman"/>
            <w:b w:val="false"/>
            <w:i w:val="false"/>
            <w:color w:val="000000"/>
            <w:sz w:val="22"/>
          </w:rPr>
          <w:t>567—Chapters 20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the following terms shall, unless otherwise noted, have the meaning indicated in this chapter. Additional definitions potentially applicable to this chapter are set forth in </w:t>
      </w:r>
      <w:hyperlink r:id="rId7">
        <w:r>
          <w:rPr>
            <w:rStyle w:val="Hyperlink"/>
            <w:rFonts w:ascii="Times New Roman" w:hAnsi="Times New Roman"/>
            <w:b w:val="false"/>
            <w:i w:val="false"/>
            <w:color w:val="000000"/>
            <w:sz w:val="22"/>
          </w:rPr>
          <w:t>567—Chapters 21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23</w:t>
        </w:r>
      </w:hyperlink>
      <w:r>
        <w:rPr>
          <w:rFonts w:ascii="Times New Roman" w:hAnsi="Times New Roman"/>
          <w:b w:val="false"/>
          <w:i w:val="false"/>
          <w:color w:val="000000"/>
          <w:sz w:val="22"/>
        </w:rPr>
        <w:t xml:space="preserve">. The definitions set out in Iowa Code sections </w:t>
      </w:r>
      <w:hyperlink r:id="rId9">
        <w:r>
          <w:rPr>
            <w:rStyle w:val="Hyperlink"/>
            <w:rFonts w:ascii="Times New Roman" w:hAnsi="Times New Roman"/>
            <w:b w:val="false"/>
            <w:i w:val="false"/>
            <w:color w:val="000000"/>
            <w:sz w:val="22"/>
          </w:rPr>
          <w:t>455B.101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455B.131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455B.411</w:t>
        </w:r>
      </w:hyperlink>
      <w:r>
        <w:rPr>
          <w:rFonts w:ascii="Times New Roman" w:hAnsi="Times New Roman"/>
          <w:b w:val="false"/>
          <w:i w:val="false"/>
          <w:color w:val="000000"/>
          <w:sz w:val="22"/>
        </w:rPr>
        <w:t xml:space="preserve"> are incorporated verbatim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“12-month rolling period” </w:t>
      </w:r>
      <w:r>
        <w:rPr>
          <w:rFonts w:ascii="Times New Roman" w:hAnsi="Times New Roman"/>
          <w:b w:val="false"/>
          <w:i w:val="false"/>
          <w:color w:val="000000"/>
          <w:sz w:val="22"/>
        </w:rPr>
        <w:t>means a period of 12 consecutive months determined on a rolling basis with a new 12-month period beginning on the first day of each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Clean Air Act (42 U.S.C. Sections 7401, et seq.), as amended through November 15,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quality standard” </w:t>
      </w:r>
      <w:r>
        <w:rPr>
          <w:rFonts w:ascii="Times New Roman" w:hAnsi="Times New Roman"/>
          <w:b w:val="false"/>
          <w:i w:val="false"/>
          <w:color w:val="000000"/>
          <w:sz w:val="22"/>
        </w:rPr>
        <w:t>means an allowable level of air contaminant or atmospheric air concentration established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“Ambient air” </w:t>
      </w:r>
      <w:r>
        <w:rPr>
          <w:rFonts w:ascii="Times New Roman" w:hAnsi="Times New Roman"/>
          <w:b w:val="false"/>
          <w:i w:val="false"/>
          <w:color w:val="000000"/>
          <w:sz w:val="22"/>
        </w:rPr>
        <w:t>means that portion of the atmosphere, external to buildings, to which the general public has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“Anaerobic lagoon,” </w:t>
      </w:r>
      <w:r>
        <w:rPr>
          <w:rFonts w:ascii="Times New Roman" w:hAnsi="Times New Roman"/>
          <w:b w:val="false"/>
          <w:i w:val="false"/>
          <w:color w:val="000000"/>
          <w:sz w:val="22"/>
        </w:rPr>
        <w:t xml:space="preserve">for purposes of air quality rules in </w:t>
      </w:r>
      <w:hyperlink r:id="rId12">
        <w:r>
          <w:rPr>
            <w:rStyle w:val="Hyperlink"/>
            <w:rFonts w:ascii="Times New Roman" w:hAnsi="Times New Roman"/>
            <w:b w:val="false"/>
            <w:i w:val="false"/>
            <w:color w:val="000000"/>
            <w:sz w:val="22"/>
          </w:rPr>
          <w:t>567—Chapters 20</w:t>
        </w:r>
      </w:hyperlink>
      <w:r>
        <w:rPr>
          <w:rFonts w:ascii="Times New Roman" w:hAnsi="Times New Roman"/>
          <w:b w:val="false"/>
          <w:i w:val="false"/>
          <w:color w:val="000000"/>
          <w:sz w:val="22"/>
        </w:rPr>
        <w:t xml:space="preserve"> through </w:t>
      </w:r>
      <w:hyperlink r:id="rId13">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means an impoundment, the primary function of which is to store and stabilize organic wastes. The impoundment is designed to receive wastes on a regular basis and the design waste loading rates are such that the predominant biological activity in the impoundment will be anaerobic. An anaerobic lagoon does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runoff control basin that collects and stores only precipitation-induced runoff from an open feedlot feeding operation;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waste slurry storage basin that receives waste discharges from confinement feeding operations and that is designed for complete removal of accumulated wastes from the basin at least semiannually;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anaerobic treatment system that includes collection and treatment facilities for all off-gases.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“Biodiesel fuel” </w:t>
      </w:r>
      <w:r>
        <w:rPr>
          <w:rFonts w:ascii="Times New Roman" w:hAnsi="Times New Roman"/>
          <w:b w:val="false"/>
          <w:i w:val="false"/>
          <w:color w:val="000000"/>
          <w:sz w:val="22"/>
        </w:rPr>
        <w:t>means a renewable, biodegradable, mono alkyl ester combustible liquid fuel derived from agricultural plant oils or animal fat, such as but not limited to soybean oil. For purposes of this definition, “biodiesel fuel” must also meet the specifications of American Society for Testing and Material Specifications (ASTM) D 6751-02, “Standard Specification for Biodiesel Fuel (B100) Blend Stock for Distillate Fuels,” and be registered with the U.S. Environmental Protection Agency as a fuel and a fuel additive under Section 211(b)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“Chimney”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“stack” </w:t>
      </w:r>
      <w:r>
        <w:rPr>
          <w:rFonts w:ascii="Times New Roman" w:hAnsi="Times New Roman"/>
          <w:b w:val="false"/>
          <w:i w:val="false"/>
          <w:color w:val="000000"/>
          <w:sz w:val="22"/>
        </w:rPr>
        <w:t>means any flue, conduit or duct permitting the discharge or passage of air contaminants into the open air or constructed or arranged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“Combustion for indirect heating” </w:t>
      </w:r>
      <w:r>
        <w:rPr>
          <w:rFonts w:ascii="Times New Roman" w:hAnsi="Times New Roman"/>
          <w:b w:val="false"/>
          <w:i w:val="false"/>
          <w:color w:val="000000"/>
          <w:sz w:val="22"/>
        </w:rPr>
        <w:t>means the combustion of fuel to produce usable heat that is to be transferred through a heat-conducting materials barrier or by a heat storage medium to a material to be heated so that the material being heated is not contacted by, and adds no substance to, the products of combustion.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equipment” </w:t>
      </w:r>
      <w:r>
        <w:rPr>
          <w:rFonts w:ascii="Times New Roman" w:hAnsi="Times New Roman"/>
          <w:b w:val="false"/>
          <w:i w:val="false"/>
          <w:color w:val="000000"/>
          <w:sz w:val="22"/>
        </w:rPr>
        <w:t>means any equipment that has the function to prevent the formation of or the emission to the atmosphere of air contaminants from any fuel burning, incinerator or process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“Country grain elevator” </w:t>
      </w:r>
      <w:r>
        <w:rPr>
          <w:rFonts w:ascii="Times New Roman" w:hAnsi="Times New Roman"/>
          <w:b w:val="false"/>
          <w:i w:val="false"/>
          <w:color w:val="000000"/>
          <w:sz w:val="22"/>
        </w:rPr>
        <w:t xml:space="preserve">means the same as defined in </w:t>
      </w:r>
      <w:hyperlink r:id="rId14">
        <w:r>
          <w:rPr>
            <w:rStyle w:val="Hyperlink"/>
            <w:rFonts w:ascii="Times New Roman" w:hAnsi="Times New Roman"/>
            <w:b w:val="false"/>
            <w:i w:val="false"/>
            <w:color w:val="000000"/>
            <w:sz w:val="22"/>
          </w:rPr>
          <w:t>22.10(1)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“Diesel fuel” </w:t>
      </w:r>
      <w:r>
        <w:rPr>
          <w:rFonts w:ascii="Times New Roman" w:hAnsi="Times New Roman"/>
          <w:b w:val="false"/>
          <w:i w:val="false"/>
          <w:color w:val="000000"/>
          <w:sz w:val="22"/>
        </w:rPr>
        <w:t>means a low sulfur fuel oil that complies with the specifications for grade 1-D or 2-D, as defined by the ASTM D 975-02, “Standard Specification for Diesel Fuel Oils,” grade 1-GT or 2-GT, as defined by ASTM D 2880-00, “Standard Specification for Gas Turbine Fuel Oils,” or grade 1 or 2, as defined by ASTM D 396-02, “Standard Specification for Fuel Oils.”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purposes of the air quality rules contained in Title II, and unless otherwise specified, diesel fuel may contain a blend of up to 2.0 percent biodiesel fuel, by volume, as “biodiesel fuel” is defined in this rule.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department shall consider air pollutant emissions calculations for the biodiesel fuel blends specified in paragraph “1” to be equivalent to the air pollutant emissions calculations for unblended diesel fuel.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Construction permits or operating permits issued under </w:t>
      </w:r>
      <w:hyperlink r:id="rId15">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 xml:space="preserve"> that restrict equipment fuel use to diesel fuel shall be considered by the department to include the biodiesel fuel blends specified in paragraph “1,” unless otherwise specified or in a permit issued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furnace” </w:t>
      </w:r>
      <w:r>
        <w:rPr>
          <w:rFonts w:ascii="Times New Roman" w:hAnsi="Times New Roman"/>
          <w:b w:val="false"/>
          <w:i w:val="false"/>
          <w:color w:val="000000"/>
          <w:sz w:val="22"/>
        </w:rPr>
        <w:t>means a furnace in which the melting and refining of metals are accomplished by means of electrical energy.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format,” “electronic submittal,”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“electronic submittal format,” </w:t>
      </w:r>
      <w:r>
        <w:rPr>
          <w:rFonts w:ascii="Times New Roman" w:hAnsi="Times New Roman"/>
          <w:b w:val="false"/>
          <w:i w:val="false"/>
          <w:color w:val="000000"/>
          <w:sz w:val="22"/>
        </w:rPr>
        <w:t xml:space="preserve">for purposes of </w:t>
      </w:r>
      <w:hyperlink r:id="rId16">
        <w:r>
          <w:rPr>
            <w:rStyle w:val="Hyperlink"/>
            <w:rFonts w:ascii="Times New Roman" w:hAnsi="Times New Roman"/>
            <w:b w:val="false"/>
            <w:i w:val="false"/>
            <w:color w:val="000000"/>
            <w:sz w:val="22"/>
          </w:rPr>
          <w:t>567—Chapters 20</w:t>
        </w:r>
      </w:hyperlink>
      <w:r>
        <w:rPr>
          <w:rFonts w:ascii="Times New Roman" w:hAnsi="Times New Roman"/>
          <w:b w:val="false"/>
          <w:i w:val="false"/>
          <w:color w:val="000000"/>
          <w:sz w:val="22"/>
        </w:rPr>
        <w:t xml:space="preserve"> through </w:t>
      </w:r>
      <w:hyperlink r:id="rId17">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means a software, Internet-based, or other electronic means specified by the department for submitting air quality information or fees to the department related to but not limited to applications, certifications, determination requests, emissions inventories, forms, notifications, payments, permit applications and registrations. References to these information submittal methods in </w:t>
      </w:r>
      <w:hyperlink r:id="rId18">
        <w:r>
          <w:rPr>
            <w:rStyle w:val="Hyperlink"/>
            <w:rFonts w:ascii="Times New Roman" w:hAnsi="Times New Roman"/>
            <w:b w:val="false"/>
            <w:i w:val="false"/>
            <w:color w:val="000000"/>
            <w:sz w:val="22"/>
          </w:rPr>
          <w:t>567—Chapters 20</w:t>
        </w:r>
      </w:hyperlink>
      <w:r>
        <w:rPr>
          <w:rFonts w:ascii="Times New Roman" w:hAnsi="Times New Roman"/>
          <w:b w:val="false"/>
          <w:i w:val="false"/>
          <w:color w:val="000000"/>
          <w:sz w:val="22"/>
        </w:rPr>
        <w:t xml:space="preserve"> through </w:t>
      </w:r>
      <w:hyperlink r:id="rId19">
        <w:r>
          <w:rPr>
            <w:rStyle w:val="Hyperlink"/>
            <w:rFonts w:ascii="Times New Roman" w:hAnsi="Times New Roman"/>
            <w:b w:val="false"/>
            <w:i w:val="false"/>
            <w:color w:val="000000"/>
            <w:sz w:val="22"/>
          </w:rPr>
          <w:t>35</w:t>
        </w:r>
      </w:hyperlink>
      <w:r>
        <w:rPr>
          <w:rFonts w:ascii="Times New Roman" w:hAnsi="Times New Roman"/>
          <w:b w:val="false"/>
          <w:i w:val="false"/>
          <w:color w:val="000000"/>
          <w:sz w:val="22"/>
        </w:rPr>
        <w:t xml:space="preserve"> may, as specified by the department, include electronic submittal as stated in the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generator” </w:t>
      </w:r>
      <w:r>
        <w:rPr>
          <w:rFonts w:ascii="Times New Roman" w:hAnsi="Times New Roman"/>
          <w:b w:val="false"/>
          <w:i w:val="false"/>
          <w:color w:val="000000"/>
          <w:sz w:val="22"/>
        </w:rPr>
        <w:t>means any generator of which the sole function is to provide emergency backup power during an interruption of electrical power from the electric utility. An emergency is an unforeseeable condition that is beyond the control of the owner or operator. An emergency generator does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Peaking units at electric utilities.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Generators at industrial facilities that typically operate at low rates but are not confined to emergency purposes.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standby generators that are used during time periods when power is available from the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“Emission limitation”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“emission standard” </w:t>
      </w:r>
      <w:r>
        <w:rPr>
          <w:rFonts w:ascii="Times New Roman" w:hAnsi="Times New Roman"/>
          <w:b w:val="false"/>
          <w:i w:val="false"/>
          <w:color w:val="000000"/>
          <w:sz w:val="22"/>
        </w:rPr>
        <w:t>means a requirement established by a state, local government, or the administrator that limits the quantity, rate or concentration of emissions of air pollutants on a continuous basis, including any requirements that limit the level of opacity, prescribe equipment, set fuel specifications or prescribe operation or maintenance procedures for a source to ensure continuous emission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“EPA conditional method” </w:t>
      </w:r>
      <w:r>
        <w:rPr>
          <w:rFonts w:ascii="Times New Roman" w:hAnsi="Times New Roman"/>
          <w:b w:val="false"/>
          <w:i w:val="false"/>
          <w:color w:val="000000"/>
          <w:sz w:val="22"/>
        </w:rPr>
        <w:t>means any method of sampling and analyzing for air pollutants that has been validated by the administrator but that has not been published as an EPA reference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“EPA reference method” </w:t>
      </w:r>
      <w:r>
        <w:rPr>
          <w:rFonts w:ascii="Times New Roman" w:hAnsi="Times New Roman"/>
          <w:b w:val="false"/>
          <w:i w:val="false"/>
          <w:color w:val="000000"/>
          <w:sz w:val="22"/>
        </w:rPr>
        <w:t>means the following methods used for performance tests and continuous monitoring systems: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Performance test (stack test). A stack test shall be conducted according to EPA reference methods specified in 40 CFR 51, Appendix M (as amended or corrected through March 29, 2023); 40 CFR 60, Appendix A (as amended or corrected through March 29, 2023); 40 CFR 61, Appendix B (as amended or corrected through October 7, 2020); and 40 CFR 63, Appendix A (as amended or corrected through March 29, 2023).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Continuous monitoring systems. Minimum performance specifications and quality assurance procedures for performance evaluations of continuous monitoring systems are as specified in 40 CFR 60, Appendix B (as amended or corrected through June 28, 2023); 40 CFR 60, Appendix F (as amended or corrected through March 29, 2023); 40 CFR 75, Appendix A (as amended or corrected through August 30, 2016); 40 CFR 75, Appendix B (as amended or corrected through August 30, 2016); and 40 CFR 75, Appendix F (as amended or corrected through August 30,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 xml:space="preserve">means the same as defined in </w:t>
      </w:r>
      <w:hyperlink r:id="rId20">
        <w:r>
          <w:rPr>
            <w:rStyle w:val="Hyperlink"/>
            <w:rFonts w:ascii="Times New Roman" w:hAnsi="Times New Roman"/>
            <w:b w:val="false"/>
            <w:i w:val="false"/>
            <w:color w:val="000000"/>
            <w:sz w:val="22"/>
          </w:rPr>
          <w:t>567—21.1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“Excess air” </w:t>
      </w:r>
      <w:r>
        <w:rPr>
          <w:rFonts w:ascii="Times New Roman" w:hAnsi="Times New Roman"/>
          <w:b w:val="false"/>
          <w:i w:val="false"/>
          <w:color w:val="000000"/>
          <w:sz w:val="22"/>
        </w:rPr>
        <w:t>means that amount of air supplied in addition to the theoretical quantity necessary for complete combustion of all fuel or combustible waste material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“Existing equipment” </w:t>
      </w:r>
      <w:r>
        <w:rPr>
          <w:rFonts w:ascii="Times New Roman" w:hAnsi="Times New Roman"/>
          <w:b w:val="false"/>
          <w:i w:val="false"/>
          <w:color w:val="000000"/>
          <w:sz w:val="22"/>
        </w:rPr>
        <w:t xml:space="preserve">means the same as defined in </w:t>
      </w:r>
      <w:hyperlink r:id="rId21">
        <w:r>
          <w:rPr>
            <w:rStyle w:val="Hyperlink"/>
            <w:rFonts w:ascii="Times New Roman" w:hAnsi="Times New Roman"/>
            <w:b w:val="false"/>
            <w:i w:val="false"/>
            <w:color w:val="000000"/>
            <w:sz w:val="22"/>
          </w:rPr>
          <w:t>567—21.1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“Foundry cupola” </w:t>
      </w:r>
      <w:r>
        <w:rPr>
          <w:rFonts w:ascii="Times New Roman" w:hAnsi="Times New Roman"/>
          <w:b w:val="false"/>
          <w:i w:val="false"/>
          <w:color w:val="000000"/>
          <w:sz w:val="22"/>
        </w:rPr>
        <w:t>means a stack-type furnace used for melting of metals consisting of but not limited to the furnace proper, tuyeres, fans or blowers, tapping spout, charging equipment, gas cleaning devices and other auxiliaries.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“Fugitive dust” </w:t>
      </w:r>
      <w:r>
        <w:rPr>
          <w:rFonts w:ascii="Times New Roman" w:hAnsi="Times New Roman"/>
          <w:b w:val="false"/>
          <w:i w:val="false"/>
          <w:color w:val="000000"/>
          <w:sz w:val="22"/>
        </w:rPr>
        <w:t>means any airborne solid particulate matter emitted from any source other than a flue or stack.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“Grain processing” </w:t>
      </w:r>
      <w:r>
        <w:rPr>
          <w:rFonts w:ascii="Times New Roman" w:hAnsi="Times New Roman"/>
          <w:b w:val="false"/>
          <w:i w:val="false"/>
          <w:color w:val="000000"/>
          <w:sz w:val="22"/>
        </w:rPr>
        <w:t xml:space="preserve">means the equipment, or the combination of different types of equipment, used in the processing of grain to produce a product primarily for wholesale or retail sale for human or animal consumption, including the processing of grain for production of biofuels, except for “feed mill equipment” as defined in </w:t>
      </w:r>
      <w:hyperlink r:id="rId22">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“Grain storage elevator” </w:t>
      </w:r>
      <w:r>
        <w:rPr>
          <w:rFonts w:ascii="Times New Roman" w:hAnsi="Times New Roman"/>
          <w:b w:val="false"/>
          <w:i w:val="false"/>
          <w:color w:val="000000"/>
          <w:sz w:val="22"/>
        </w:rPr>
        <w:t>means any plant or installation at which grain is unloaded, handled, cleaned, dried, stored, or loaded and that is located at any wheat flour mill, wet corn mill, dry corn mill (human consumption), rice mill, or soybean oil extraction plant that has a permanent grain storage capacity (grain storage capacity that is inside a building, bin, or silo) of more than 35,200 m</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(ca. 1 million U.S. bushels).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“Greenhouse gas” </w:t>
      </w:r>
      <w:r>
        <w:rPr>
          <w:rFonts w:ascii="Times New Roman" w:hAnsi="Times New Roman"/>
          <w:b w:val="false"/>
          <w:i w:val="false"/>
          <w:color w:val="000000"/>
          <w:sz w:val="22"/>
        </w:rPr>
        <w:t>means carbon dioxide, methane, nitrous oxide, hydrofluorocarbons, perfluorocarbons, and sulfur hexafluoride.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“Heating value” </w:t>
      </w:r>
      <w:r>
        <w:rPr>
          <w:rFonts w:ascii="Times New Roman" w:hAnsi="Times New Roman"/>
          <w:b w:val="false"/>
          <w:i w:val="false"/>
          <w:color w:val="000000"/>
          <w:sz w:val="22"/>
        </w:rPr>
        <w:t>means the heat released by combustion of one pound of waste or fuel measured in Btu on an as-received basis. For solid fuels, the heating value shall be determined by use of ASTM Standard D 2015-66.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“Incinerator” </w:t>
      </w:r>
      <w:r>
        <w:rPr>
          <w:rFonts w:ascii="Times New Roman" w:hAnsi="Times New Roman"/>
          <w:b w:val="false"/>
          <w:i w:val="false"/>
          <w:color w:val="000000"/>
          <w:sz w:val="22"/>
        </w:rPr>
        <w:t>means a combustion apparatus designed for high temperature operation in which solid, semisolid, liquid or gaseous combustible refuse is ignited and burned efficiently and from which the solid residues contain little or no combustible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“Initiation of construction, installation or alteration” </w:t>
      </w:r>
      <w:r>
        <w:rPr>
          <w:rFonts w:ascii="Times New Roman" w:hAnsi="Times New Roman"/>
          <w:b w:val="false"/>
          <w:i w:val="false"/>
          <w:color w:val="000000"/>
          <w:sz w:val="22"/>
        </w:rPr>
        <w:t>means significant permanent modification of a site to install equipment, control equipment or permanent structures. Not included are activities incident to preliminary engineering, environmental studies, or acquisition of a site for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equipment” </w:t>
      </w:r>
      <w:r>
        <w:rPr>
          <w:rFonts w:ascii="Times New Roman" w:hAnsi="Times New Roman"/>
          <w:b w:val="false"/>
          <w:i w:val="false"/>
          <w:color w:val="000000"/>
          <w:sz w:val="22"/>
        </w:rPr>
        <w:t xml:space="preserve">means the same as defined in </w:t>
      </w:r>
      <w:hyperlink r:id="rId23">
        <w:r>
          <w:rPr>
            <w:rStyle w:val="Hyperlink"/>
            <w:rFonts w:ascii="Times New Roman" w:hAnsi="Times New Roman"/>
            <w:b w:val="false"/>
            <w:i w:val="false"/>
            <w:color w:val="000000"/>
            <w:sz w:val="22"/>
          </w:rPr>
          <w:t>567—21.1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“Number 1 fuel oil” </w:t>
      </w:r>
      <w:r>
        <w:rPr>
          <w:rFonts w:ascii="Times New Roman" w:hAnsi="Times New Roman"/>
          <w:b w:val="false"/>
          <w:i w:val="false"/>
          <w:color w:val="000000"/>
          <w:sz w:val="22"/>
        </w:rPr>
        <w:t xml:space="preserve">and </w:t>
      </w:r>
      <w:r>
        <w:rPr>
          <w:rFonts w:ascii="Times New Roman" w:hAnsi="Times New Roman"/>
          <w:b w:val="false"/>
          <w:i/>
          <w:color w:val="000000"/>
          <w:sz w:val="22"/>
        </w:rPr>
        <w:t>“number 2 fuel oil,”</w:t>
      </w:r>
      <w:r>
        <w:rPr>
          <w:rFonts w:ascii="Times New Roman" w:hAnsi="Times New Roman"/>
          <w:b w:val="false"/>
          <w:i w:val="false"/>
          <w:color w:val="000000"/>
          <w:sz w:val="22"/>
        </w:rPr>
        <w:t xml:space="preserve"> also known as “distillate oil,” mean fuel oil that complies with the specifications for fuel oil number 1 or fuel oil number 2, as defined by the ASTM D 396-02, “Standard Specification for Fuel Oils.”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purposes of the air quality rules contained in Title II, and unless otherwise specified, number 1 fuel oil or number 2 fuel oil may contain a blend of up to 2.0 percent biodiesel fuel, by volume, as “biodiesel fuel” is defined in this rule.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department shall consider air pollutant emissions calculations for the biodiesel fuel blends specified in paragraph “1” to be equivalent to the air pollutant emissions calculations for unblended number 1 fuel oil or unblended number 2 fuel oil.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Construction permits or operating permits issued under this chapter that restrict equipment fuel use to number 1 fuel oil or number 2 fuel oil shall be considered by the department to include the biodiesel fuel blends specified in paragraph “1,” unless otherwise specified or in a permit issued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“One-hour period” </w:t>
      </w:r>
      <w:r>
        <w:rPr>
          <w:rFonts w:ascii="Times New Roman" w:hAnsi="Times New Roman"/>
          <w:b w:val="false"/>
          <w:i w:val="false"/>
          <w:color w:val="000000"/>
          <w:sz w:val="22"/>
        </w:rPr>
        <w:t>means any 60-minute period commencing on the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“Particulate matter” </w:t>
      </w:r>
      <w:r>
        <w:rPr>
          <w:rFonts w:ascii="Times New Roman" w:hAnsi="Times New Roman"/>
          <w:b w:val="false"/>
          <w:i w:val="false"/>
          <w:color w:val="000000"/>
          <w:sz w:val="22"/>
        </w:rPr>
        <w:t>(except for the purposes of new source performance standards as defined in 40 CFR 60) means any material, except uncombined water, that exists in a finely divided form as a liquid or solid at standard conditions and includes gaseous emissions that condense to liquid or solid form as measured by EPA-approved reference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documents” </w:t>
      </w:r>
      <w:r>
        <w:rPr>
          <w:rFonts w:ascii="Times New Roman" w:hAnsi="Times New Roman"/>
          <w:b w:val="false"/>
          <w:i w:val="false"/>
          <w:color w:val="000000"/>
          <w:sz w:val="22"/>
        </w:rPr>
        <w:t>means the reports, proposals, preliminary plans, survey and basis of design data, general and detail construction plans, profiles, specifications and all other information pertaining to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“PM</w:t>
      </w:r>
      <w:r>
        <w:rPr>
          <w:rFonts w:ascii="Times New Roman" w:hAnsi="Times New Roman"/>
          <w:b w:val="false"/>
          <w:i/>
          <w:color w:val="000000"/>
          <w:sz w:val="18"/>
          <w:vertAlign w:val="subscript"/>
        </w:rPr>
        <w:t>10</w:t>
      </w:r>
      <w:r>
        <w:rPr>
          <w:rFonts w:ascii="Times New Roman" w:hAnsi="Times New Roman"/>
          <w:b w:val="false"/>
          <w:i/>
          <w:color w:val="000000"/>
          <w:sz w:val="22"/>
        </w:rPr>
        <w:t xml:space="preserve">” </w:t>
      </w:r>
      <w:r>
        <w:rPr>
          <w:rFonts w:ascii="Times New Roman" w:hAnsi="Times New Roman"/>
          <w:b w:val="false"/>
          <w:i w:val="false"/>
          <w:color w:val="000000"/>
          <w:sz w:val="22"/>
        </w:rPr>
        <w:t>means particulate matter with an aerodynamic diameter less than or equal to a nominal 10 micrometers as measured by an EPA-approved reference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“PM</w:t>
      </w:r>
      <w:r>
        <w:rPr>
          <w:rFonts w:ascii="Times New Roman" w:hAnsi="Times New Roman"/>
          <w:b w:val="false"/>
          <w:i/>
          <w:color w:val="000000"/>
          <w:sz w:val="18"/>
          <w:vertAlign w:val="subscript"/>
        </w:rPr>
        <w:t>2.5</w:t>
      </w:r>
      <w:r>
        <w:rPr>
          <w:rFonts w:ascii="Times New Roman" w:hAnsi="Times New Roman"/>
          <w:b w:val="false"/>
          <w:i/>
          <w:color w:val="000000"/>
          <w:sz w:val="22"/>
        </w:rPr>
        <w:t xml:space="preserve">” </w:t>
      </w:r>
      <w:r>
        <w:rPr>
          <w:rFonts w:ascii="Times New Roman" w:hAnsi="Times New Roman"/>
          <w:b w:val="false"/>
          <w:i w:val="false"/>
          <w:color w:val="000000"/>
          <w:sz w:val="22"/>
        </w:rPr>
        <w:t>means particulate matter as defined in this rule with an aerodynamic diameter less than or equal to a nominal 2.5 micrometers as measured by an EPA-approved reference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“Potential to emit” </w:t>
      </w:r>
      <w:r>
        <w:rPr>
          <w:rFonts w:ascii="Times New Roman" w:hAnsi="Times New Roman"/>
          <w:b w:val="false"/>
          <w:i w:val="false"/>
          <w:color w:val="000000"/>
          <w:sz w:val="22"/>
        </w:rPr>
        <w:t>means the maximum capacity of a stationary source to emit any air pollutant under its physical and operational design. Any physical or operational limitation on the capacity of a source to emit an air pollutant, including air pollution control equipment and restrictions on hours of operation or on the type or amount of material combusted, stored, or processed, shall be treated as part of its design if the limitation is enforceable by the administrator. This term does not alter or affect the use of this term for any other purposes under the Act, or the term “capacity factor” as used in Title IV of the Act or the regulations relating to acid rain.</w:t>
      </w:r>
    </w:p>
    <w:p>
      <w:pPr>
        <w:spacing w:before="0" w:after="0"/>
        <w:ind w:left="120"/>
        <w:jc w:val="both"/>
      </w:pPr>
      <w:r>
        <w:rPr>
          <w:rFonts w:ascii="Times New Roman" w:hAnsi="Times New Roman"/>
          <w:b w:val="false"/>
          <w:i w:val="false"/>
          <w:color w:val="000000"/>
          <w:sz w:val="22"/>
        </w:rPr>
        <w:t xml:space="preserve">For the purpose of determining potential to emit for country grain elevators, the provisions set forth in </w:t>
      </w:r>
      <w:hyperlink r:id="rId24">
        <w:r>
          <w:rPr>
            <w:rStyle w:val="Hyperlink"/>
            <w:rFonts w:ascii="Times New Roman" w:hAnsi="Times New Roman"/>
            <w:b w:val="false"/>
            <w:i w:val="false"/>
            <w:color w:val="000000"/>
            <w:sz w:val="22"/>
          </w:rPr>
          <w:t>22.10(2)</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For purposes of calculating potential to emit for emergency generators, “maximum capacity” means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500 hours of operation annually, if the generator has actually been operated less than 500 hours per year for the past five years.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8,760 hours of operation annually, if the generator has actually been operated more than 500 hours in one of the past five years.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number of hours specified in a state or federally enforceable limit.</w:t>
      </w:r>
    </w:p>
    <w:p>
      <w:pPr>
        <w:spacing w:before="0" w:after="0"/>
        <w:ind w:left="120"/>
        <w:jc w:val="both"/>
      </w:pPr>
      <w:r>
        <w:rPr>
          <w:rFonts w:ascii="Times New Roman" w:hAnsi="Times New Roman"/>
          <w:b w:val="false"/>
          <w:i w:val="false"/>
          <w:color w:val="000000"/>
          <w:sz w:val="22"/>
        </w:rPr>
        <w:t>If the source is subject to new source construction permit review, then potential to emit is defined as stated above or as established in a federally enforceable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“Privileged communication” </w:t>
      </w:r>
      <w:r>
        <w:rPr>
          <w:rFonts w:ascii="Times New Roman" w:hAnsi="Times New Roman"/>
          <w:b w:val="false"/>
          <w:i w:val="false"/>
          <w:color w:val="000000"/>
          <w:sz w:val="22"/>
        </w:rPr>
        <w:t>means information other than air pollutant emissions data, the release of which would tend to affect adversely the competitive position of the owner or operator of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 </w:t>
      </w:r>
      <w:r>
        <w:rPr>
          <w:rFonts w:ascii="Times New Roman" w:hAnsi="Times New Roman"/>
          <w:b w:val="false"/>
          <w:i w:val="false"/>
          <w:color w:val="000000"/>
          <w:sz w:val="22"/>
        </w:rPr>
        <w:t>means any action, operation or treatment, and all methods and forms of manufacturing or processing, that may emit smoke, particulate matter, gaseous matter or other air contaminant.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 weight” </w:t>
      </w:r>
      <w:r>
        <w:rPr>
          <w:rFonts w:ascii="Times New Roman" w:hAnsi="Times New Roman"/>
          <w:b w:val="false"/>
          <w:i w:val="false"/>
          <w:color w:val="000000"/>
          <w:sz w:val="22"/>
        </w:rPr>
        <w:t>means the total weight of all materials introduced into any source operation. Solid fuels charged will be considered as part of the process weight, but liquid and gaseous fuels and combustion air will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“Process weight rate” </w:t>
      </w:r>
      <w:r>
        <w:rPr>
          <w:rFonts w:ascii="Times New Roman" w:hAnsi="Times New Roman"/>
          <w:b w:val="false"/>
          <w:i w:val="false"/>
          <w:color w:val="000000"/>
          <w:sz w:val="22"/>
        </w:rPr>
        <w:t>means continuous or long-run steady-state source operations, the total process weight for the entire period of continuous operation or for a typical portion thereof, divided by the number of hours of such period or portion thereof; or for a cyclical or batch source operation, the total process weight for a period that covers a complete operation or an integral number of cycles, divided by the number of hours of actual process operation during such a period. Where the nature of any process or operation, or the design of any equipment is such as to permit more than one interpretation of this definition, the interpretation that results in the minimum value for allowable emission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“Six-minute period” </w:t>
      </w:r>
      <w:r>
        <w:rPr>
          <w:rFonts w:ascii="Times New Roman" w:hAnsi="Times New Roman"/>
          <w:b w:val="false"/>
          <w:i w:val="false"/>
          <w:color w:val="000000"/>
          <w:sz w:val="22"/>
        </w:rPr>
        <w:t>means any one of the ten equal parts of a one-hour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“Smoke” </w:t>
      </w:r>
      <w:r>
        <w:rPr>
          <w:rFonts w:ascii="Times New Roman" w:hAnsi="Times New Roman"/>
          <w:b w:val="false"/>
          <w:i w:val="false"/>
          <w:color w:val="000000"/>
          <w:sz w:val="22"/>
        </w:rPr>
        <w:t>means gas-borne particles resulting from incomplete combustion, consisting predominantly, but not exclusively, of carbon, and other combustible material, or ash, that form a visible plume in the 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“Source operation” </w:t>
      </w:r>
      <w:r>
        <w:rPr>
          <w:rFonts w:ascii="Times New Roman" w:hAnsi="Times New Roman"/>
          <w:b w:val="false"/>
          <w:i w:val="false"/>
          <w:color w:val="000000"/>
          <w:sz w:val="22"/>
        </w:rPr>
        <w:t>means the last operation preceding the emission of an air contaminant and that results in the separation of the air contaminant from the process materials or in the conversion of the process materials into air contaminants but is not an air pollution control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conditions” </w:t>
      </w:r>
      <w:r>
        <w:rPr>
          <w:rFonts w:ascii="Times New Roman" w:hAnsi="Times New Roman"/>
          <w:b w:val="false"/>
          <w:i w:val="false"/>
          <w:color w:val="000000"/>
          <w:sz w:val="22"/>
        </w:rPr>
        <w:t>means a temperature of 68°F and a pressure of 29.92 inches of mercury absolute.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cubic foot”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“SCF” </w:t>
      </w:r>
      <w:r>
        <w:rPr>
          <w:rFonts w:ascii="Times New Roman" w:hAnsi="Times New Roman"/>
          <w:b w:val="false"/>
          <w:i w:val="false"/>
          <w:color w:val="000000"/>
          <w:sz w:val="22"/>
        </w:rPr>
        <w:t>means the volume of one cubic foot of gas at standard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metropolitan statistical area”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“SMSA” </w:t>
      </w:r>
      <w:r>
        <w:rPr>
          <w:rFonts w:ascii="Times New Roman" w:hAnsi="Times New Roman"/>
          <w:b w:val="false"/>
          <w:i w:val="false"/>
          <w:color w:val="000000"/>
          <w:sz w:val="22"/>
        </w:rPr>
        <w:t>means an area that has at least one city with a population of at least 50,000 and such surrounding areas as geographically defined by the U.S. Office of Management and Budget (Department of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“Stationary source” </w:t>
      </w:r>
      <w:r>
        <w:rPr>
          <w:rFonts w:ascii="Times New Roman" w:hAnsi="Times New Roman"/>
          <w:b w:val="false"/>
          <w:i w:val="false"/>
          <w:color w:val="000000"/>
          <w:sz w:val="22"/>
        </w:rPr>
        <w:t>means any building, structure, facility or installation that emits or may emit any air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suspended particulate” </w:t>
      </w:r>
      <w:r>
        <w:rPr>
          <w:rFonts w:ascii="Times New Roman" w:hAnsi="Times New Roman"/>
          <w:b w:val="false"/>
          <w:i w:val="false"/>
          <w:color w:val="000000"/>
          <w:sz w:val="22"/>
        </w:rPr>
        <w:t>means particulate matter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“Untreated” </w:t>
      </w:r>
      <w:r>
        <w:rPr>
          <w:rFonts w:ascii="Times New Roman" w:hAnsi="Times New Roman"/>
          <w:b w:val="false"/>
          <w:i w:val="false"/>
          <w:color w:val="000000"/>
          <w:sz w:val="22"/>
        </w:rPr>
        <w:t>as it refers to wood or wood products includes only wood or wood products that have not been treated with compounds such as, but not limited to, paint, pigment-stain, adhesive, varnish, lacquer, or resin or that have not been pressure treated with compounds such as, but not limited to, chromate copper acetate, pentachlorophenol or creosote. “Untreated” as it refers to seeds, pellets or other vegetative matter includes only seeds, pellets or other vegetative matter that has not been treated with pesticides or fungicides.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“Urban area” </w:t>
      </w:r>
      <w:r>
        <w:rPr>
          <w:rFonts w:ascii="Times New Roman" w:hAnsi="Times New Roman"/>
          <w:b w:val="false"/>
          <w:i w:val="false"/>
          <w:color w:val="000000"/>
          <w:sz w:val="22"/>
        </w:rPr>
        <w:t>means any Iowa city of 100,000 or more population in the current census and all Iowa cities contiguous to such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“Variance” </w:t>
      </w:r>
      <w:r>
        <w:rPr>
          <w:rFonts w:ascii="Times New Roman" w:hAnsi="Times New Roman"/>
          <w:b w:val="false"/>
          <w:i w:val="false"/>
          <w:color w:val="000000"/>
          <w:sz w:val="22"/>
        </w:rPr>
        <w:t>means a temporary waiver from rules or standards governing the quality, nature, duration or extent of emissions granted by the commission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“Volatile organic compounds”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“VOC” </w:t>
      </w:r>
      <w:r>
        <w:rPr>
          <w:rFonts w:ascii="Times New Roman" w:hAnsi="Times New Roman"/>
          <w:b w:val="false"/>
          <w:i w:val="false"/>
          <w:color w:val="000000"/>
          <w:sz w:val="22"/>
        </w:rPr>
        <w:t>means any compound included in the definition of “volatile organic compounds” found at 40 CFR Section 51.100(s) as amended through February 8,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 xml:space="preserve">No person shall construct, install, reconstruct or alter any equipment, control equipment or anaerobic lagoon unless a permit is first obtained pursuant to this chapter, </w:t>
      </w:r>
      <w:hyperlink r:id="rId25">
        <w:r>
          <w:rPr>
            <w:rStyle w:val="Hyperlink"/>
            <w:rFonts w:ascii="Times New Roman" w:hAnsi="Times New Roman"/>
            <w:b w:val="false"/>
            <w:i w:val="false"/>
            <w:color w:val="000000"/>
            <w:sz w:val="22"/>
          </w:rPr>
          <w:t>567—31.3</w:t>
        </w:r>
      </w:hyperlink>
      <w:r>
        <w:rPr>
          <w:rFonts w:ascii="Times New Roman" w:hAnsi="Times New Roman"/>
          <w:b w:val="false"/>
          <w:i w:val="false"/>
          <w:color w:val="000000"/>
          <w:sz w:val="22"/>
        </w:rPr>
        <w:t xml:space="preserve">(455B), or </w:t>
      </w:r>
      <w:hyperlink r:id="rId26">
        <w:r>
          <w:rPr>
            <w:rStyle w:val="Hyperlink"/>
            <w:rFonts w:ascii="Times New Roman" w:hAnsi="Times New Roman"/>
            <w:b w:val="false"/>
            <w:i w:val="false"/>
            <w:color w:val="000000"/>
            <w:sz w:val="22"/>
          </w:rPr>
          <w:t>567—33.3</w:t>
        </w:r>
      </w:hyperlink>
      <w:r>
        <w:rPr>
          <w:rFonts w:ascii="Times New Roman" w:hAnsi="Times New Roman"/>
          <w:b w:val="false"/>
          <w:i w:val="false"/>
          <w:color w:val="000000"/>
          <w:sz w:val="22"/>
        </w:rPr>
        <w:t xml:space="preserve">(455B), or the equipment qualifies for an exemption under </w:t>
      </w:r>
      <w:hyperlink r:id="rId27">
        <w:r>
          <w:rPr>
            <w:rStyle w:val="Hyperlink"/>
            <w:rFonts w:ascii="Times New Roman" w:hAnsi="Times New Roman"/>
            <w:b w:val="false"/>
            <w:i w:val="false"/>
            <w:color w:val="000000"/>
            <w:sz w:val="22"/>
          </w:rPr>
          <w:t>22.1(2)</w:t>
        </w:r>
      </w:hyperlink>
      <w:r>
        <w:rPr>
          <w:rFonts w:ascii="Times New Roman" w:hAnsi="Times New Roman"/>
          <w:b w:val="false"/>
          <w:i w:val="false"/>
          <w:color w:val="000000"/>
          <w:sz w:val="22"/>
        </w:rPr>
        <w:t xml:space="preserve">. An air quality construction permit shall be obtained prior to the initiation of construction, installation or alteration of any portion of the stationary source or anaerobic lagoon, unless the parameters in </w:t>
      </w:r>
      <w:hyperlink r:id="rId28">
        <w:r>
          <w:rPr>
            <w:rStyle w:val="Hyperlink"/>
            <w:rFonts w:ascii="Times New Roman" w:hAnsi="Times New Roman"/>
            <w:b w:val="false"/>
            <w:i w:val="false"/>
            <w:color w:val="000000"/>
            <w:sz w:val="22"/>
          </w:rPr>
          <w:t>22.1(1)</w:t>
        </w:r>
      </w:hyperlink>
      <w:r>
        <w:rPr>
          <w:rFonts w:ascii="Times New Roman" w:hAnsi="Times New Roman"/>
          <w:b w:val="false"/>
          <w:i/>
          <w:color w:val="000000"/>
          <w:sz w:val="22"/>
        </w:rPr>
        <w:t>“c”</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Existing equipment is not subject to this subrule, unless it has been modified, reconstructed, or altered on or after September 23, 1970.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construct or reconstruct a major source of hazardous air pollutants, as defined in 40 CFR Section 63.2 and 40 CFR Section 63.41 as adopted by reference in </w:t>
      </w:r>
      <w:hyperlink r:id="rId29">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 unless a construction permit has been obtained from the department, which requires maximum achievable control technology for new sources to be applied. The permit shall be obtained prior to the initiation of construction or reconstruction of the major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prior to issuance of an air quality construction permit issued by the department may begin if the eligibility requirements stated in </w:t>
      </w:r>
      <w:hyperlink r:id="rId30">
        <w:r>
          <w:rPr>
            <w:rStyle w:val="Hyperlink"/>
            <w:rFonts w:ascii="Times New Roman" w:hAnsi="Times New Roman"/>
            <w:b w:val="false"/>
            <w:i w:val="false"/>
            <w:color w:val="000000"/>
            <w:sz w:val="22"/>
          </w:rPr>
          <w:t>22.1(1)</w:t>
        </w:r>
      </w:hyperlink>
      <w:r>
        <w:rPr>
          <w:rFonts w:ascii="Times New Roman" w:hAnsi="Times New Roman"/>
          <w:b w:val="false"/>
          <w:i/>
          <w:color w:val="000000"/>
          <w:sz w:val="22"/>
        </w:rPr>
        <w:t>“c”</w:t>
      </w:r>
      <w:r>
        <w:rPr>
          <w:rFonts w:ascii="Times New Roman" w:hAnsi="Times New Roman"/>
          <w:b w:val="false"/>
          <w:i w:val="false"/>
          <w:color w:val="000000"/>
          <w:sz w:val="22"/>
        </w:rPr>
        <w:t>(1) are met. The applicant must assume any liability for construction conducted on a source before the permit is issued. In no case will the applicant be allowed to hook up the equipment to the exhaust stack or operate the equipment in any way that may emit any pollutant prior to receiving a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submitted a construction permit application to the department, as specified in </w:t>
      </w:r>
      <w:hyperlink r:id="rId31">
        <w:r>
          <w:rPr>
            <w:rStyle w:val="Hyperlink"/>
            <w:rFonts w:ascii="Times New Roman" w:hAnsi="Times New Roman"/>
            <w:b w:val="false"/>
            <w:i w:val="false"/>
            <w:color w:val="000000"/>
            <w:sz w:val="22"/>
          </w:rPr>
          <w:t>22.1(3)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notified the department of the applicant’s intentions in writing five working days prior to initiating construction;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equipment or process is not subject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Prevention of significant deterioration (PSD), as set forth in </w:t>
      </w:r>
      <w:hyperlink r:id="rId32">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New source performance standards (NSPS), as set forth in </w:t>
      </w:r>
      <w:hyperlink r:id="rId33">
        <w:r>
          <w:rPr>
            <w:rStyle w:val="Hyperlink"/>
            <w:rFonts w:ascii="Times New Roman" w:hAnsi="Times New Roman"/>
            <w:b w:val="false"/>
            <w:i w:val="false"/>
            <w:color w:val="000000"/>
            <w:sz w:val="22"/>
          </w:rPr>
          <w:t>567—subrule 23.1(2)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National emission standards for hazardous air pollutants (NESHAP), as set forth in </w:t>
      </w:r>
      <w:hyperlink r:id="rId34">
        <w:r>
          <w:rPr>
            <w:rStyle w:val="Hyperlink"/>
            <w:rFonts w:ascii="Times New Roman" w:hAnsi="Times New Roman"/>
            <w:b w:val="false"/>
            <w:i w:val="false"/>
            <w:color w:val="000000"/>
            <w:sz w:val="22"/>
          </w:rPr>
          <w:t>567—subrules 23.1(3)</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Emission guidelines, as set forth in </w:t>
      </w:r>
      <w:hyperlink r:id="rId36">
        <w:r>
          <w:rPr>
            <w:rStyle w:val="Hyperlink"/>
            <w:rFonts w:ascii="Times New Roman" w:hAnsi="Times New Roman"/>
            <w:b w:val="false"/>
            <w:i w:val="false"/>
            <w:color w:val="000000"/>
            <w:sz w:val="22"/>
          </w:rPr>
          <w:t>567—subrule 23.1(5)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Nonattainment new source review, as set forth in </w:t>
      </w:r>
      <w:hyperlink r:id="rId37">
        <w:r>
          <w:rPr>
            <w:rStyle w:val="Hyperlink"/>
            <w:rFonts w:ascii="Times New Roman" w:hAnsi="Times New Roman"/>
            <w:b w:val="false"/>
            <w:i w:val="false"/>
            <w:color w:val="000000"/>
            <w:sz w:val="22"/>
          </w:rPr>
          <w:t>567—Chapter 31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equipment or process is a major source of hazardous air pollutants, as defined in 40 CFR Sections 63.2 and 63.41, and as adopted by reference in </w:t>
      </w:r>
      <w:hyperlink r:id="rId38">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equipment and processes are subject to PSD until the owner or operator of a proposed project legally obtains permitted limits that limit the project below the PSD thresholds (i.e., PSD synthetic minor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must cease construction if the department’s evaluation demonstrates that the construction, reconstruction or modification of the stationary source will interfere with the attainment or maintenance of the national ambient air quality standards or will result in a violation of a control strategy required by 40 CFR Part 51, Subpart G, as amended through February 19,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will be required to make any modification to the stationary source that may be imposed in the issued construction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notify the department in writing of the actual start date of construction or reconstruction. All notifications shall be submitted to the department in writing no later than 30 days after construction or reconstruction started. All notifications shall include all of the information listed in </w:t>
      </w:r>
      <w:hyperlink r:id="rId39">
        <w:r>
          <w:rPr>
            <w:rStyle w:val="Hyperlink"/>
            <w:rFonts w:ascii="Times New Roman" w:hAnsi="Times New Roman"/>
            <w:b w:val="false"/>
            <w:i w:val="false"/>
            <w:color w:val="000000"/>
            <w:sz w:val="22"/>
          </w:rPr>
          <w:t>22.3(3)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of a country grain elevator, country grain terminal elevator, grain terminal elevator or feed mill equipment, as “country grain elevator,” “country grain terminal elevator,” “grain terminal elevator,” and “feed mill equipment,” as these terms are defined in </w:t>
      </w:r>
      <w:hyperlink r:id="rId40">
        <w:r>
          <w:rPr>
            <w:rStyle w:val="Hyperlink"/>
            <w:rFonts w:ascii="Times New Roman" w:hAnsi="Times New Roman"/>
            <w:b w:val="false"/>
            <w:i w:val="false"/>
            <w:color w:val="000000"/>
            <w:sz w:val="22"/>
          </w:rPr>
          <w:t>22.10(1)</w:t>
        </w:r>
      </w:hyperlink>
      <w:r>
        <w:rPr>
          <w:rFonts w:ascii="Times New Roman" w:hAnsi="Times New Roman"/>
          <w:b w:val="false"/>
          <w:i w:val="false"/>
          <w:color w:val="000000"/>
          <w:sz w:val="22"/>
        </w:rPr>
        <w:t xml:space="preserve">, may elect to comply with the requirements specified in </w:t>
      </w:r>
      <w:hyperlink r:id="rId41">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 xml:space="preserve">(455B) as an alternative to the construction permitting requirements set forth in </w:t>
      </w:r>
      <w:hyperlink r:id="rId42">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An owner or operator may opt to use one of the permitting exemptions in this subrule in lieu of obtaining an air quality construction permit if the equipment, control equipment, or process meets the conditions in the specific exemption and is not: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Permitted under the provisions of the permit by rule for spray booths, as set forth in </w:t>
      </w:r>
      <w:hyperlink r:id="rId43">
        <w:r>
          <w:rPr>
            <w:rStyle w:val="Hyperlink"/>
            <w:rFonts w:ascii="Times New Roman" w:hAnsi="Times New Roman"/>
            <w:b w:val="false"/>
            <w:i w:val="false"/>
            <w:color w:val="000000"/>
            <w:sz w:val="22"/>
          </w:rPr>
          <w:t>567—22.8</w:t>
        </w:r>
      </w:hyperlink>
      <w:r>
        <w:rPr>
          <w:rFonts w:ascii="Times New Roman" w:hAnsi="Times New Roman"/>
          <w:b w:val="false"/>
          <w:i w:val="false"/>
          <w:color w:val="000000"/>
          <w:sz w:val="22"/>
        </w:rPr>
        <w:t xml:space="preserve">(455B);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Subject to nonattainment new source review, as set forth in </w:t>
      </w:r>
      <w:hyperlink r:id="rId44">
        <w:r>
          <w:rPr>
            <w:rStyle w:val="Hyperlink"/>
            <w:rFonts w:ascii="Times New Roman" w:hAnsi="Times New Roman"/>
            <w:b w:val="false"/>
            <w:i w:val="false"/>
            <w:color w:val="000000"/>
            <w:sz w:val="22"/>
          </w:rPr>
          <w:t>567—Chapter 31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Subject to PSD, as set forth in </w:t>
      </w:r>
      <w:hyperlink r:id="rId45">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A permitting exemption may be used only if a permit is not necessary to establish federally enforceable limits that restrict potential to emit.</w:t>
      </w:r>
    </w:p>
    <w:p>
      <w:pPr>
        <w:spacing w:before="0" w:after="0"/>
        <w:ind w:left="120"/>
        <w:jc w:val="both"/>
      </w:pPr>
      <w:r>
        <w:rPr>
          <w:rFonts w:ascii="Times New Roman" w:hAnsi="Times New Roman"/>
          <w:b w:val="false"/>
          <w:i w:val="false"/>
          <w:color w:val="000000"/>
          <w:sz w:val="22"/>
        </w:rPr>
        <w:t>An owner or operator shall keep records at the facility and will make the records available to the department upon request if any of the exemptions under the following paragraphs are claimed:</w:t>
      </w:r>
    </w:p>
    <w:p>
      <w:pPr>
        <w:spacing w:before="0" w:after="0"/>
        <w:ind w:left="120"/>
        <w:jc w:val="both"/>
      </w:pPr>
      <w:r>
        <w:rPr>
          <w:rFonts w:ascii="Times New Roman" w:hAnsi="Times New Roman"/>
          <w:b w:val="false"/>
          <w:i w:val="false"/>
          <w:color w:val="000000"/>
          <w:sz w:val="22"/>
        </w:rPr>
        <w:t>     ●   </w:t>
      </w:r>
      <w:hyperlink r:id="rId46">
        <w:r>
          <w:rPr>
            <w:rStyle w:val="Hyperlink"/>
            <w:rFonts w:ascii="Times New Roman" w:hAnsi="Times New Roman"/>
            <w:b w:val="false"/>
            <w:i w:val="false"/>
            <w:color w:val="000000"/>
            <w:sz w:val="22"/>
          </w:rPr>
          <w:t>22.1(2)</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equipment &gt; 1 million Btu per hour input), </w:t>
      </w:r>
    </w:p>
    <w:p>
      <w:pPr>
        <w:spacing w:before="0" w:after="0"/>
        <w:ind w:left="120"/>
        <w:jc w:val="both"/>
      </w:pPr>
      <w:r>
        <w:rPr>
          <w:rFonts w:ascii="Times New Roman" w:hAnsi="Times New Roman"/>
          <w:b w:val="false"/>
          <w:i w:val="false"/>
          <w:color w:val="000000"/>
          <w:sz w:val="22"/>
        </w:rPr>
        <w:t>     ●   </w:t>
      </w:r>
      <w:hyperlink r:id="rId47">
        <w:r>
          <w:rPr>
            <w:rStyle w:val="Hyperlink"/>
            <w:rFonts w:ascii="Times New Roman" w:hAnsi="Times New Roman"/>
            <w:b w:val="false"/>
            <w:i w:val="false"/>
            <w:color w:val="000000"/>
            <w:sz w:val="22"/>
          </w:rPr>
          <w:t>22.1(2)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   </w:t>
      </w:r>
      <w:hyperlink r:id="rId48">
        <w:r>
          <w:rPr>
            <w:rStyle w:val="Hyperlink"/>
            <w:rFonts w:ascii="Times New Roman" w:hAnsi="Times New Roman"/>
            <w:b w:val="false"/>
            <w:i w:val="false"/>
            <w:color w:val="000000"/>
            <w:sz w:val="22"/>
          </w:rPr>
          <w:t>22.1(2)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   </w:t>
      </w:r>
      <w:hyperlink r:id="rId49">
        <w:r>
          <w:rPr>
            <w:rStyle w:val="Hyperlink"/>
            <w:rFonts w:ascii="Times New Roman" w:hAnsi="Times New Roman"/>
            <w:b w:val="false"/>
            <w:i w:val="false"/>
            <w:color w:val="000000"/>
            <w:sz w:val="22"/>
          </w:rPr>
          <w:t>22.1(2)</w:t>
        </w:r>
      </w:hyperlink>
      <w:r>
        <w:rPr>
          <w:rFonts w:ascii="Times New Roman" w:hAnsi="Times New Roman"/>
          <w:b w:val="false"/>
          <w:i/>
          <w:color w:val="000000"/>
          <w:sz w:val="22"/>
        </w:rPr>
        <w:t>“r,”</w:t>
      </w:r>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   </w:t>
      </w:r>
      <w:hyperlink r:id="rId50">
        <w:r>
          <w:rPr>
            <w:rStyle w:val="Hyperlink"/>
            <w:rFonts w:ascii="Times New Roman" w:hAnsi="Times New Roman"/>
            <w:b w:val="false"/>
            <w:i w:val="false"/>
            <w:color w:val="000000"/>
            <w:sz w:val="22"/>
          </w:rPr>
          <w:t>22.1(2)</w:t>
        </w:r>
      </w:hyperlink>
      <w:r>
        <w:rPr>
          <w:rFonts w:ascii="Times New Roman" w:hAnsi="Times New Roman"/>
          <w:b w:val="false"/>
          <w:i/>
          <w:color w:val="000000"/>
          <w:sz w:val="22"/>
        </w:rPr>
        <w:t>“s.”</w:t>
      </w:r>
    </w:p>
    <w:p>
      <w:pPr>
        <w:spacing w:before="0" w:after="0"/>
        <w:ind w:left="120"/>
        <w:jc w:val="both"/>
      </w:pPr>
      <w:r>
        <w:rPr>
          <w:rFonts w:ascii="Times New Roman" w:hAnsi="Times New Roman"/>
          <w:b w:val="false"/>
          <w:i w:val="false"/>
          <w:color w:val="000000"/>
          <w:sz w:val="22"/>
        </w:rPr>
        <w:t>Records kept on site shall contain the following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specific exemption claimed; and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description of the associated equipment. </w:t>
      </w:r>
    </w:p>
    <w:p>
      <w:pPr>
        <w:spacing w:before="0" w:after="0"/>
        <w:ind w:left="120"/>
        <w:jc w:val="both"/>
      </w:pPr>
      <w:r>
        <w:rPr>
          <w:rFonts w:ascii="Times New Roman" w:hAnsi="Times New Roman"/>
          <w:b w:val="false"/>
          <w:i w:val="false"/>
          <w:color w:val="000000"/>
          <w:sz w:val="22"/>
        </w:rPr>
        <w:t>The permitting exemptions in this subrule do not relieve the owner or operator of any source from any obligation to comply with any other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Fuel-burning equipment for indirect heating and reheating furnaces or cooling units using natural gas or liquefied petroleum gas with a capacity of less than 10 million Btu per hour input per combustion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Fuel-burning equipment for indirect heating or indirect cooling with a capacity of less than 1 million Btu per hour input per combustion unit when burning untreated wood, untreated seeds or pellets, other untreated vegetative materials, or fuel oil, provided that the equipment and the fuel meet the conditions specified in this paragraph. Used oils meeting the specification from 40 CFR Section 279.11 as amended through July 14, 2006, are acceptable fuels for this exemption. When combusting used oils, the equipment must have a maximum rated capacity of 50,000 Btu or less per hour of heat input or a maximum throughput of 3,600 gallons or less of used oils per year. When combusting untreated wood, untreated seeds or pellets, or other untreated vegetative materials, the equipment must have a maximum rated capacity of 265,600 Btu or less per hour or a maximum throughput of 378,000 pounds or less per year of each fuel or any combination of fuels. Records shall be maintained on site by the owner or operator for at least two calendar years to demonstrate that fuel usage is less than the exemption thresholds. Owners or operators initiating construction, installation, reconstruction, or alteration of equipment (as defined in </w:t>
      </w:r>
      <w:hyperlink r:id="rId51">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on or before October 23, 2013, burning coal, used oils, untreated wood, untreated seeds or pellets, or other untreated vegetative materials that qualified for this exemption may continue to claim this exemption after October 23, 2013, without being restricted to the maximum heat input or throughput specified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Mobile internal combustion and jet engines, marine vessels and locomotives.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used for cultivating land, harvesting crops, or raising livestock other than anaerobic lagoons. This exemption is not applicable if the equipment is used to remove substances from grain that were applied to the grain by another person. This exemption is also not applicable to equipment used by a person to manufacture commercial feed, as defined in Iowa Code section </w:t>
      </w:r>
      <w:hyperlink r:id="rId52">
        <w:r>
          <w:rPr>
            <w:rStyle w:val="Hyperlink"/>
            <w:rFonts w:ascii="Times New Roman" w:hAnsi="Times New Roman"/>
            <w:b w:val="false"/>
            <w:i w:val="false"/>
            <w:color w:val="000000"/>
            <w:sz w:val="22"/>
          </w:rPr>
          <w:t>198.3</w:t>
        </w:r>
      </w:hyperlink>
      <w:r>
        <w:rPr>
          <w:rFonts w:ascii="Times New Roman" w:hAnsi="Times New Roman"/>
          <w:b w:val="false"/>
          <w:i w:val="false"/>
          <w:color w:val="000000"/>
          <w:sz w:val="22"/>
        </w:rPr>
        <w:t xml:space="preserve">, that is normally not fed to livestock, owned by the person or another person, in a feedlot, as defined in Iowa Code section </w:t>
      </w:r>
      <w:hyperlink r:id="rId53">
        <w:r>
          <w:rPr>
            <w:rStyle w:val="Hyperlink"/>
            <w:rFonts w:ascii="Times New Roman" w:hAnsi="Times New Roman"/>
            <w:b w:val="false"/>
            <w:i w:val="false"/>
            <w:color w:val="000000"/>
            <w:sz w:val="22"/>
          </w:rPr>
          <w:t>172D.1(6)</w:t>
        </w:r>
      </w:hyperlink>
      <w:r>
        <w:rPr>
          <w:rFonts w:ascii="Times New Roman" w:hAnsi="Times New Roman"/>
          <w:b w:val="false"/>
          <w:i w:val="false"/>
          <w:color w:val="000000"/>
          <w:sz w:val="22"/>
        </w:rPr>
        <w:t>, or a confinement building owned or operated by that person and located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Incinerators and pyrolysis cleaning furnaces with a rated refuse burning capacity of less than 25 pounds per hour for which initiation of construction, installation, reconstruction, or alteration (as defined in </w:t>
      </w:r>
      <w:hyperlink r:id="rId54">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on or before October 23, 2013. Pyrolysis cleaning furnace exemption is limited to those units that use only natural gas or propane. Salt bath units are not included in this exemption. Incinerators or pyrolysis cleaning furnaces for which initiation of construction, installation, reconstruction, or alteration (as defined in </w:t>
      </w:r>
      <w:hyperlink r:id="rId55">
        <w:r>
          <w:rPr>
            <w:rStyle w:val="Hyperlink"/>
            <w:rFonts w:ascii="Times New Roman" w:hAnsi="Times New Roman"/>
            <w:b w:val="false"/>
            <w:i w:val="false"/>
            <w:color w:val="000000"/>
            <w:sz w:val="22"/>
          </w:rPr>
          <w:t>567—21.1</w:t>
        </w:r>
      </w:hyperlink>
      <w:r>
        <w:rPr>
          <w:rFonts w:ascii="Times New Roman" w:hAnsi="Times New Roman"/>
          <w:b w:val="false"/>
          <w:i w:val="false"/>
          <w:color w:val="000000"/>
          <w:sz w:val="22"/>
        </w:rPr>
        <w:t>(455B)) occurred after October 23, 2013, shall not qualify for this exemption. After October 23, 2013, only paint clean-off ovens with a maximum rated capacity of less than 25 pounds per hour that do not combust lead-containing materials shall qualify for this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Fugitive dust controls, unless a control efficiency can be assigned to the equipment or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Equipment or control equipment that reduces or eliminates all emission to the atmosphere. An owner or operator electing to use this exemption shall provide to the department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location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Detailed description of each change being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the beginning of actual construction and date that operation will begin after the changes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Detailed emissions estimates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actual and potential emissions, specifically noting increases or decreases, for the project for all regulated pollutants (as defined in </w:t>
      </w:r>
      <w:hyperlink r:id="rId56">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accumulated emissions increases associated with each change when totaled with other net emissions increases at the facility contemporaneous with the proposed change (occurring within five years before construction of the particular change commences).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of the basis for all emissions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Height of the emission point or stack and height of the highest building within 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that the provisions of </w:t>
      </w:r>
      <w:hyperlink r:id="rId57">
        <w:r>
          <w:rPr>
            <w:rStyle w:val="Hyperlink"/>
            <w:rFonts w:ascii="Times New Roman" w:hAnsi="Times New Roman"/>
            <w:b w:val="false"/>
            <w:i w:val="false"/>
            <w:color w:val="000000"/>
            <w:sz w:val="22"/>
          </w:rPr>
          <w:t>567—Chapters 31</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33</w:t>
        </w:r>
      </w:hyperlink>
      <w:r>
        <w:rPr>
          <w:rFonts w:ascii="Times New Roman" w:hAnsi="Times New Roman"/>
          <w:b w:val="false"/>
          <w:i w:val="false"/>
          <w:color w:val="000000"/>
          <w:sz w:val="22"/>
        </w:rPr>
        <w:t xml:space="preserve"> do not apply;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statement containing certification by a responsible official as defined in </w:t>
      </w:r>
      <w:hyperlink r:id="rId59">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of truth, accuracy, and completeness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Accumulated emissions with other contemporaneous net increases have not exceeded significant levels, as defined in 40 CFR 52.21(b)(23), and adopted in </w:t>
      </w:r>
      <w:hyperlink r:id="rId60">
        <w:r>
          <w:rPr>
            <w:rStyle w:val="Hyperlink"/>
            <w:rFonts w:ascii="Times New Roman" w:hAnsi="Times New Roman"/>
            <w:b w:val="false"/>
            <w:i w:val="false"/>
            <w:color w:val="000000"/>
            <w:sz w:val="22"/>
          </w:rPr>
          <w:t>567—33.3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changes will not prevent the attainment or maintenance of the ambient air quality standards specified in </w:t>
      </w:r>
      <w:hyperlink r:id="rId61">
        <w:r>
          <w:rPr>
            <w:rStyle w:val="Hyperlink"/>
            <w:rFonts w:ascii="Times New Roman" w:hAnsi="Times New Roman"/>
            <w:b w:val="false"/>
            <w:i w:val="false"/>
            <w:color w:val="000000"/>
            <w:sz w:val="22"/>
          </w:rPr>
          <w:t>567—22.11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Based on information and belief formed after reasonable inquiry, the statements and information in the document are true, accurate, and complete.</w:t>
      </w:r>
    </w:p>
    <w:p>
      <w:pPr>
        <w:spacing w:before="0" w:after="0"/>
        <w:ind w:left="120"/>
        <w:jc w:val="both"/>
      </w:pPr>
      <w:r>
        <w:rPr>
          <w:rFonts w:ascii="Times New Roman" w:hAnsi="Times New Roman"/>
          <w:b w:val="false"/>
          <w:i w:val="false"/>
          <w:color w:val="000000"/>
          <w:sz w:val="22"/>
        </w:rPr>
        <w:t>The conditions listed below also apply to this exemption: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an owner or operator opts to use this exemption for equipment or a process not yet constructed or modified, the information shall be provided to the department at least 30 days in advance of the beginning of construction on the project.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an owner or operator opts to use this exemption for equipment or a process that has already been constructed or modified and that does not have a construction permit for that construction or modification, the owner or operator shall not operate until the information listed above is provided to the department.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a construction permit has been previously issued for the equipment or control equipment, all other conditions of the construction permit remain in effect.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an owner or operator wishes to obtain credit for emission reductions, an air quality construction permit must be obtained for the reduction prior to the time the reduction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(other than anaerobic lagoons) or control equipment that emits odors, unless such equipment or control equipment also emits particulate matter or any other regulated air contaminant (as defined in </w:t>
      </w:r>
      <w:hyperlink r:id="rId62">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Residential heaters, cookstoves, or fireplaces that burn untreated wood, untreated seeds or pellets, or other untreated vegetative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Asbestos demolition and renovation projects subject to 40 CFR Section 61.145 as adopted by reference in 567—subrule </w:t>
      </w:r>
      <w:hyperlink r:id="rId63">
        <w:r>
          <w:rPr>
            <w:rStyle w:val="Hyperlink"/>
            <w:rFonts w:ascii="Times New Roman" w:hAnsi="Times New Roman"/>
            <w:b w:val="false"/>
            <w:i w:val="false"/>
            <w:color w:val="000000"/>
            <w:sz w:val="22"/>
          </w:rPr>
          <w:t>23.1(3)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equipment in laboratories used exclusively for nonproduction chemical and physical analyses. Nonproduction analyses means analyses incidental to the production of a good or service and includes analyses conducted for quality assurance or quality control activities or for the assessment of environmental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Storage tanks with a capacity of less than 19,812 gallons and an annual throughput of less than 200,000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Stack or vents to prevent escape of sewer gases through plumbing traps. Systems that include any industrial waste are not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nonproduction surface coating process that uses only handheld aerosol spray cans.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Brazing, soldering or welding equipment or portable cutting torches used only for nonproduction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Cooling and ventilating equipment: comfort air conditioning not designed or used to remove air contaminants generated by, or released from, specific units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An internal combustion engine with a brake horsepower rating of less than 400 measured at the shaft, provided that the owner or operator meets all of the conditions in this paragraph. For the purposes of this exemption, the manufacturer’s nameplate rated capacity at full load shall be defined as the brake horsepower output at the shaft. The owner or operator of an engine that was manufactured, ordered, modified or reconstructed after March 18, 2009, may use this exemption only if the owner or operator, prior to installing, modifying or reconstructing the engine, submits to the department a completed registration on forms provided by the department (unless the engine is exempted from registration, as specified in this paragraph or on the registration form) certifying that the engine is in compliance with the following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NSPS for stationary compression ignition internal combustion engines (40 CFR Part 60, Subpart IIII);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NSPS for stationary spark ignition internal combustion engines (40 CFR Part 60, Subpart JJJJ);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NESHAP for reciprocating internal combustion engines (40 CFR Part 63, Subpart ZZZZ).</w:t>
      </w:r>
    </w:p>
    <w:p>
      <w:pPr>
        <w:spacing w:before="0" w:after="0"/>
        <w:ind w:left="120"/>
        <w:jc w:val="both"/>
      </w:pPr>
      <w:r>
        <w:rPr>
          <w:rFonts w:ascii="Times New Roman" w:hAnsi="Times New Roman"/>
          <w:b w:val="false"/>
          <w:i w:val="false"/>
          <w:color w:val="000000"/>
          <w:sz w:val="22"/>
        </w:rPr>
        <w:t>Use of this exemption does not relieve an owner or operator from any obligation to comply with NSPS or NESHAP requirements. An engine that meets the definition of a nonroad engine as specified in 40 CFR Section 1068.30, as amended through January 24, 2023, is exempt from the registration requirements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that is not related to the production of goods or services and used exclusively for academic purposes, located at educational institutions (as defined in Iowa Code section </w:t>
      </w:r>
      <w:hyperlink r:id="rId64">
        <w:r>
          <w:rPr>
            <w:rStyle w:val="Hyperlink"/>
            <w:rFonts w:ascii="Times New Roman" w:hAnsi="Times New Roman"/>
            <w:b w:val="false"/>
            <w:i w:val="false"/>
            <w:color w:val="000000"/>
            <w:sz w:val="22"/>
          </w:rPr>
          <w:t>455B.161</w:t>
        </w:r>
      </w:hyperlink>
      <w:r>
        <w:rPr>
          <w:rFonts w:ascii="Times New Roman" w:hAnsi="Times New Roman"/>
          <w:b w:val="false"/>
          <w:i w:val="false"/>
          <w:color w:val="000000"/>
          <w:sz w:val="22"/>
        </w:rPr>
        <w:t>). The equipment covered under this exemption is limited to lab hoods, art class equipment, wood shop equipment in classrooms, wood fired pottery kilns, and fuel-burning units with a capacity of less than 1 million Btu per hour fuel capacity. This exemption does not apply to incinerators.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Any container, storage tank, or vessel that contains a fluid having a maximum true vapor pressure of less than 0.75 psia. “Maximum true vapor pressure” means the equilibrium partial pressure of the material considering: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material stored at ambient temperature, the maximum monthly average temperature as reported by the National Weather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material stored above or below the ambient temperature, the temperature equal to the highest calendar-month average of the material storage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Equipment for carving, cutting, routing, turning, drilling, machining, sawing, surface grinding, sanding, planing, buffing, sandblast cleaning, shot blasting, shot peening, or polishing ceramic artwork, leather, metals (other than beryllium), plastics, concrete, rubber, paper stock, and wood or wood products, where such equipment is either used for nonproduction activities or exhausted inside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 xml:space="preserve">Manually operated equipment, as defined in </w:t>
      </w:r>
      <w:hyperlink r:id="rId65">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used for buffing, polishing, carving, cutting, drilling, machining, routing, sanding, sawing, scarfing, surface grinding, or turning.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Small unit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“Small unit” means any emission unit and associated control (if applicable) that emits less than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2 pounds per year of lead and lead compounds expressed as lead (40 pounds per year of lead or lead compounds for equipment for which initiation of construction, installation, reconstruction, or alteration (as defined in </w:t>
      </w:r>
      <w:hyperlink r:id="rId66">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5 tons per year of sulfur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5 tons per year of nitrogen oxides;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5 tons per year of volatile organic compounds;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5 tons per year of carbon monoxide;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5 tons per year of particulate matter (particulate matter as defined in 40 CFR 51.100(pp), as amended through November 7,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2.5 tons per year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0.52 tons per year of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(does not apply to equipment for which initiation of construction, installation, reconstruction, or alteration (as defined in </w:t>
      </w:r>
      <w:hyperlink r:id="rId67">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5 tons per year of hazardous air pollutants (as defined in </w:t>
      </w:r>
      <w:hyperlink r:id="rId68">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For the purposes of this exemption, “emission unit” means any part or activity of a stationary source that emits or has the potential to emit any pollutant subject to regulation under the Act. This exemption applies to existing and new or modified “small units.”</w:t>
      </w:r>
    </w:p>
    <w:p>
      <w:pPr>
        <w:spacing w:before="0" w:after="0"/>
        <w:ind w:left="120"/>
        <w:jc w:val="both"/>
      </w:pPr>
      <w:r>
        <w:rPr>
          <w:rFonts w:ascii="Times New Roman" w:hAnsi="Times New Roman"/>
          <w:b w:val="false"/>
          <w:i w:val="false"/>
          <w:color w:val="000000"/>
          <w:sz w:val="22"/>
        </w:rPr>
        <w:t xml:space="preserve">An emission unit that emits hazardous air pollutants (as defined in </w:t>
      </w:r>
      <w:hyperlink r:id="rId69">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is not eligible for this exemption if the emission unit is required to be reviewed for compliance with </w:t>
      </w:r>
      <w:hyperlink r:id="rId70">
        <w:r>
          <w:rPr>
            <w:rStyle w:val="Hyperlink"/>
            <w:rFonts w:ascii="Times New Roman" w:hAnsi="Times New Roman"/>
            <w:b w:val="false"/>
            <w:i w:val="false"/>
            <w:color w:val="000000"/>
            <w:sz w:val="22"/>
          </w:rPr>
          <w:t>567—subrule 23.1(3)</w:t>
        </w:r>
      </w:hyperlink>
      <w:r>
        <w:rPr>
          <w:rFonts w:ascii="Times New Roman" w:hAnsi="Times New Roman"/>
          <w:b w:val="false"/>
          <w:i w:val="false"/>
          <w:color w:val="000000"/>
          <w:sz w:val="22"/>
        </w:rPr>
        <w:t xml:space="preserve">, emission standards for hazardous air pollutants (40 CFR Part 61, NESHAP), or </w:t>
      </w:r>
      <w:hyperlink r:id="rId71">
        <w:r>
          <w:rPr>
            <w:rStyle w:val="Hyperlink"/>
            <w:rFonts w:ascii="Times New Roman" w:hAnsi="Times New Roman"/>
            <w:b w:val="false"/>
            <w:i w:val="false"/>
            <w:color w:val="000000"/>
            <w:sz w:val="22"/>
          </w:rPr>
          <w:t>567—subrule 23.1(4)</w:t>
        </w:r>
      </w:hyperlink>
      <w:r>
        <w:rPr>
          <w:rFonts w:ascii="Times New Roman" w:hAnsi="Times New Roman"/>
          <w:b w:val="false"/>
          <w:i w:val="false"/>
          <w:color w:val="000000"/>
          <w:sz w:val="22"/>
        </w:rPr>
        <w:t>, emission standards for hazardous air pollutants for source categories (40 CFR Part 63, NESHAP).</w:t>
      </w:r>
    </w:p>
    <w:p>
      <w:pPr>
        <w:spacing w:before="0" w:after="0"/>
        <w:ind w:left="120"/>
        <w:jc w:val="both"/>
      </w:pPr>
      <w:r>
        <w:rPr>
          <w:rFonts w:ascii="Times New Roman" w:hAnsi="Times New Roman"/>
          <w:b w:val="false"/>
          <w:i w:val="false"/>
          <w:color w:val="000000"/>
          <w:sz w:val="22"/>
        </w:rPr>
        <w:t xml:space="preserve">An emission unit that emits air pollutants that are not regulated air pollutants as defined in </w:t>
      </w:r>
      <w:hyperlink r:id="rId72">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shall not be eligible to use this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 requested. If a construction permit is requested in writing by the owner or operator of a small unit, the director may issue a construction permit for the emission point associated with that emission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owner or operator that utilizes the small unit exemption must maintain on site an “exemption justification document.” The exemption justification document must document conformance and compliance with the emission rate limits contained in the definition of “small unit” for the particular emission unit or group of similar emission units obtaining the exemption. Controls that may be part of the exemption justification document include, but are not limited to, the following: emission control devices, such as cyclones, filters, or baghouses; restricted hours of operation or fuel; and raw material or solvent substitution. The exemption justification document for an emission unit or group of similar emission units must be made available for review during normal business hours and for state or EPA on-site inspections and shall be provided to the director or the director’s representative upon request. If an exemption justification document does not exist, the applicability of the small unit exemption is voided for that particular emission unit or group of similar emission units. The controls described in the exemption justification document establish a limit on the potential emissions. An exemption justification document shall include the following for each applicable emission unit or group of similar emission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narrative description of how the emissions from the emission unit or group of similar emission units were determined and maintained at or below the annual small unit exemption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air pollution control equipment is used, a description of the air pollution control equipment used on the emission unit or group of similar emission units and a statement that the emission unit or group of similar emission units will not be operated without the pollution control equipment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air pollution control equipment is used, the applicant shall maintain a copy of any report of manufacturer’s testing results of any emissions test, if available. The department may require a test if it believes that a test is necessary for the exemption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all production limits required for the emission unit or group of similar emission units to comply with the exemption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Detailed calculations of emissions reflecting the use of any air pollution control devices or production or throughput limitations, or both, for applicable emission unit or group of similar emission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Records of actual operation that demonstrate that the annual emissions from the emission unit or group of similar emission units were maintained below the exemption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designated as major sources with respect to </w:t>
      </w:r>
      <w:hyperlink r:id="rId73">
        <w:r>
          <w:rPr>
            <w:rStyle w:val="Hyperlink"/>
            <w:rFonts w:ascii="Times New Roman" w:hAnsi="Times New Roman"/>
            <w:b w:val="false"/>
            <w:i w:val="false"/>
            <w:color w:val="000000"/>
            <w:sz w:val="22"/>
          </w:rPr>
          <w:t>567—22.4</w:t>
        </w:r>
      </w:hyperlink>
      <w:r>
        <w:rPr>
          <w:rFonts w:ascii="Times New Roman" w:hAnsi="Times New Roman"/>
          <w:b w:val="false"/>
          <w:i w:val="false"/>
          <w:color w:val="000000"/>
          <w:sz w:val="22"/>
        </w:rPr>
        <w:t xml:space="preserve">(455B) and </w:t>
      </w:r>
      <w:hyperlink r:id="rId74">
        <w:r>
          <w:rPr>
            <w:rStyle w:val="Hyperlink"/>
            <w:rFonts w:ascii="Times New Roman" w:hAnsi="Times New Roman"/>
            <w:b w:val="false"/>
            <w:i w:val="false"/>
            <w:color w:val="000000"/>
            <w:sz w:val="22"/>
          </w:rPr>
          <w:t>567—24.101</w:t>
        </w:r>
      </w:hyperlink>
      <w:r>
        <w:rPr>
          <w:rFonts w:ascii="Times New Roman" w:hAnsi="Times New Roman"/>
          <w:b w:val="false"/>
          <w:i w:val="false"/>
          <w:color w:val="000000"/>
          <w:sz w:val="22"/>
        </w:rPr>
        <w:t>(455B), or subject to any applicable federal requirements, shall retain all records demonstrating compliance with the exemption justification document for five years. The record retention requirements supersede any retention conditions of an individual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from the responsible official that the emission unit or group of similar emission units have complied with the exemption levels specified in </w:t>
      </w:r>
      <w:hyperlink r:id="rId75">
        <w:r>
          <w:rPr>
            <w:rStyle w:val="Hyperlink"/>
            <w:rFonts w:ascii="Times New Roman" w:hAnsi="Times New Roman"/>
            <w:b w:val="false"/>
            <w:i w:val="false"/>
            <w:color w:val="000000"/>
            <w:sz w:val="22"/>
          </w:rPr>
          <w:t>22.1(2)</w:t>
        </w:r>
      </w:hyperlink>
      <w:r>
        <w:rPr>
          <w:rFonts w:ascii="Times New Roman" w:hAnsi="Times New Roman"/>
          <w:b w:val="false"/>
          <w:i/>
          <w:color w:val="000000"/>
          <w:sz w:val="22"/>
        </w:rPr>
        <w:t>“w”</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Requirement to apply for a construction permit. An owner or operator of a small unit will be required to obtain a construction permit or take the unit out of service if the emission unit exceeds the small unit emission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during an inspection or other investigation of a facility, the department believes that the emission unit exceeds the emission levels that define a “small unit,” then the department will submit calculations and detailed information in a letter to the owner or operator. The owner or operator shall have 60 days to respond with detailed calculations and information to substantiate a claim that the small unit does not exceed the emission levels that define a small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is unable to substantiate a claim to the satisfaction of the department, then the owner or operator that has been using the small unit exemption must cease operation of that small unit or apply for a construction permit for that unit within 90 days after receiving a letter of notice from the department. The emission unit and control equipment may continue operation during this period and the associated initial application review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notification of nonqualification as a small unit is made by the department following the process described above, the owner or operator will be deemed to have constructed an emission unit without the required permit and may be subject to applicable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 Required notice for construction or modification of a substantial small unit. The owner or operator shall notify the department in writing at least ten days prior to commencing construction of any new or modified “substantial small unit” as defined in </w:t>
      </w:r>
      <w:hyperlink r:id="rId76">
        <w:r>
          <w:rPr>
            <w:rStyle w:val="Hyperlink"/>
            <w:rFonts w:ascii="Times New Roman" w:hAnsi="Times New Roman"/>
            <w:b w:val="false"/>
            <w:i w:val="false"/>
            <w:color w:val="000000"/>
            <w:sz w:val="22"/>
          </w:rPr>
          <w:t>22.1(2)</w:t>
        </w:r>
      </w:hyperlink>
      <w:r>
        <w:rPr>
          <w:rFonts w:ascii="Times New Roman" w:hAnsi="Times New Roman"/>
          <w:b w:val="false"/>
          <w:i/>
          <w:color w:val="000000"/>
          <w:sz w:val="22"/>
        </w:rPr>
        <w:t>“w”</w:t>
      </w:r>
      <w:r>
        <w:rPr>
          <w:rFonts w:ascii="Times New Roman" w:hAnsi="Times New Roman"/>
          <w:b w:val="false"/>
          <w:i w:val="false"/>
          <w:color w:val="000000"/>
          <w:sz w:val="22"/>
        </w:rPr>
        <w:t xml:space="preserve">(6). The owner or operator shall notify the department within 30 days after determining an existing small unit meets the criteria of the “substantial small unit” as defined in </w:t>
      </w:r>
      <w:hyperlink r:id="rId77">
        <w:r>
          <w:rPr>
            <w:rStyle w:val="Hyperlink"/>
            <w:rFonts w:ascii="Times New Roman" w:hAnsi="Times New Roman"/>
            <w:b w:val="false"/>
            <w:i w:val="false"/>
            <w:color w:val="000000"/>
            <w:sz w:val="22"/>
          </w:rPr>
          <w:t>22.1(2)</w:t>
        </w:r>
      </w:hyperlink>
      <w:r>
        <w:rPr>
          <w:rFonts w:ascii="Times New Roman" w:hAnsi="Times New Roman"/>
          <w:b w:val="false"/>
          <w:i/>
          <w:color w:val="000000"/>
          <w:sz w:val="22"/>
        </w:rPr>
        <w:t>“w”</w:t>
      </w:r>
      <w:r>
        <w:rPr>
          <w:rFonts w:ascii="Times New Roman" w:hAnsi="Times New Roman"/>
          <w:b w:val="false"/>
          <w:i w:val="false"/>
          <w:color w:val="000000"/>
          <w:sz w:val="22"/>
        </w:rPr>
        <w:t>(6). Notification shall include the name of the business, the location where the unit will be installed, and information describing the unit and quantifying its emissions. The owner or operator shall notify the department within 90 days of the end of the calendar year for which the aggregate emissions from substantial small units at the facility have reached any of the cumulative notice thresholds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paragraph, “substantial small unit” means a small unit that emits more than the following amounts, as documented in the exemption justification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2 pounds per year of lead and lead compounds expressed as lead (30 pounds per year of lead or lead compounds for equipment for which initiation of construction, installation, reconstruction, or alteration (as defined in </w:t>
      </w:r>
      <w:hyperlink r:id="rId78">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3.75 tons per year of sulfur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3.75 tons per year of nitrogen oxides;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3.75 tons per year of volatile organic compounds;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3.75 tons per year of carbon monoxide;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3.75 tons per year of particulate matter (particulate matter as defined in 40 CFR 51.100(pp), as amended through November 7,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1.875 tons per year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0.4 tons per year of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(does not apply to equipment for which initiation of construction, installation, reconstruction, or alteration (as defined in </w:t>
      </w:r>
      <w:hyperlink r:id="rId79">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3.75 tons per year of any hazardous air pollutant or 3.75 tons per year of any combination of hazardous air pollutants.</w:t>
      </w:r>
    </w:p>
    <w:p>
      <w:pPr>
        <w:spacing w:before="0" w:after="0"/>
        <w:ind w:left="120"/>
        <w:jc w:val="both"/>
      </w:pPr>
      <w:r>
        <w:rPr>
          <w:rFonts w:ascii="Times New Roman" w:hAnsi="Times New Roman"/>
          <w:b w:val="false"/>
          <w:i w:val="false"/>
          <w:color w:val="000000"/>
          <w:sz w:val="22"/>
        </w:rPr>
        <w:t>An emission unit is a “substantial small unit” only for those substances for which annual emissions exceed the above-indicated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notice that a cumulative notice threshold has been reached. Once a “cumulative notice threshold,” as defined in </w:t>
      </w:r>
      <w:hyperlink r:id="rId80">
        <w:r>
          <w:rPr>
            <w:rStyle w:val="Hyperlink"/>
            <w:rFonts w:ascii="Times New Roman" w:hAnsi="Times New Roman"/>
            <w:b w:val="false"/>
            <w:i w:val="false"/>
            <w:color w:val="000000"/>
            <w:sz w:val="22"/>
          </w:rPr>
          <w:t>22.1(2)</w:t>
        </w:r>
      </w:hyperlink>
      <w:r>
        <w:rPr>
          <w:rFonts w:ascii="Times New Roman" w:hAnsi="Times New Roman"/>
          <w:b w:val="false"/>
          <w:i/>
          <w:color w:val="000000"/>
          <w:sz w:val="22"/>
        </w:rPr>
        <w:t>“w”</w:t>
      </w:r>
      <w:r>
        <w:rPr>
          <w:rFonts w:ascii="Times New Roman" w:hAnsi="Times New Roman"/>
          <w:b w:val="false"/>
          <w:i w:val="false"/>
          <w:color w:val="000000"/>
          <w:sz w:val="22"/>
        </w:rPr>
        <w:t>(8), has been reached for any of the listed pollutants, the owner or operator at the facility must apply for air construction permits for all substantial small units for which the cumulative notice threshold for the pollutant(s) in question has been reached. The owner or operator shall have 90 days from the date it determines that the cumulative notice threshold has been reached in which to apply for construction permit(s). The owner or operator shall submit a letter to the department, within five working days of making this determination, establishing the date the owner or operator determined that the cumulative notice threshold had been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“Cumulative notice threshold” means the total combined emissions from all substantial small units using the small unit exemption that emit at the facility the following amounts, as documented in the exemption justification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0.6 tons per year of lead and lead compounds expressed as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40 tons per year of sulfur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40 tons per year of nitrogen oxides;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40 tons per year of volatile organic compounds;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100 tons per year of carbon monoxide;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25 tons per year of particulate matter (particulate matter as defined in 40 CFR 51.100(pp), as amended through November 7,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15 tons per year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10 tons per year of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(does not apply to equipment for which initiation of construction, installation, reconstruction, or alteration (as defined in </w:t>
      </w:r>
      <w:hyperlink r:id="rId81">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10 tons per year of any hazardous air pollutant or 25 tons per year of any combination of hazardous air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The following equipment, processes,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Cafeterias, kitchens, and other facilities used for preparing food or beverages primarily for consumption at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Consumer use of office equipment and products, not including printers or businesses primarily involved in photographic reproduction.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Janitorial services and consumer use of janitorial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Internal combustion engines used for lawn care, landscaping, and groundskeeping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Laundry activities located at a stationary source that uses washers and dryers to clean, with water solutions of bleach or detergents, or to dry clothing, bedding, and other fabric items used on site. This exemption does not include laundry activities that use dry cleaning equipment or steam boilers.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Bathroom vent emissions, including toilet vent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Blacksmith forges.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Plant maintenance and upkeep activities and repair or maintenance shop activities (e.g., groundskeeping, general repairs, cleaning, painting, welding, plumbing, retarring roofs, installing insulation, and paving parking lots), provided that these activities are not conducted as part of manufacturing process, are not related to the source’s primary business activity, and do not otherwise trigger a permit modification. Cleaning and painting activities qualify if they are not subject to control requirements for volatile organic compounds or hazardous air pollutants as defined in </w:t>
      </w:r>
      <w:hyperlink r:id="rId82">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Air compressors and vacuum pumps, including hand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Batteries and battery charging stations, except at battery manufacturing plants.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Equipment used to store, mix, pump, handle or package soaps, detergents, surfactants, waxes, glycerin, vegetable oils, greases, animal fats, sweetener, corn syrup, and aqueous salt or caustic solutions, provided that appropriate lids and covers are utilized and that no organic solvent has been mixed with such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Equipment used exclusively to slaughter animals, but not including other equipment at slaughterhouses, such as rendering cookers, boilers, heating plants, incinerators, and electrical power generating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Vents from continuous emissions monitors and other analyzers.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Natural gas pressure regulator vents, excluding venting at oil and gas production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Equipment used by surface coating operations that apply the coating by brush, roller, or dipping, except equipment that emits volatile organic compounds or hazardous air pollutants as defined in </w:t>
      </w:r>
      <w:hyperlink r:id="rId83">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Hydraulic and hydrostatic testing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Environmental chambers not using gases that are hazardous air pollutants as defined in </w:t>
      </w:r>
      <w:hyperlink r:id="rId84">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Shock chambers, humidity chambers, and solar simulators.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Fugitive dust emissions related to movement of passenger vehicles on unpaved road surfaces, provided that the emissions are not counted for applicability purposes and that any fugitive dust control plan or its equivalent is submitted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Process water filtration systems and demineralizers, demineralized water tanks, and demineralizer 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Boiler water treatment operations, not including cooling towers or lime silos.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Oxygen scavenging (deaeration)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Fire suppression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Emergency road flares.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Steam vents, safety relief valves, and steam leaks.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Steam sterilizers.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Application of hot melt adhesives from closed-pot systems using polyolefin compounds, polyamides, acrylics, ethylene vinyl acetate and urethane material when stored and applied at the manufacturer’s recommended temperatures. Equipment used to apply hot melt adhesives shall have a safety device that automatically shuts down the equipment if the hot melt temperature exceeds the manufacturer’s recommended application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Direct-fired equipment burning natural gas, propane, or liquefied propane with a capacity of less than 10 million Btu per hour input, and direct-fired equipment burning fuel oil with a capacity of less than 1 million Btu per hour input, with emissions that are attributable only to the products of combustion. Emissions other than those attributable to the products of combustion shall be accounted for in an enforceable permit condition or shall otherwise be exempt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Closed refrigeration systems, including storage tanks used in refrigeration systems but excluding any combustion equipment associated with such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Pretreatment application processes that use aqueous-based chemistries designed to clean a substrate, provided that the chemical concentrate contains no more than 5 percent organic solvents by weight. This exemption includes pretreatment processes that use aqueous-based cleaners, cleaner-phosphatizers, and phosphate conversion coating chemistries.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Indoor-vented powder coating operations with filters or powder recovery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w:t>
      </w:r>
      <w:r>
        <w:rPr>
          <w:rFonts w:ascii="Times New Roman" w:hAnsi="Times New Roman"/>
          <w:b w:val="false"/>
          <w:i w:val="false"/>
          <w:color w:val="000000"/>
          <w:sz w:val="22"/>
        </w:rPr>
        <w:t>  </w:t>
      </w:r>
      <w:r>
        <w:rPr>
          <w:rFonts w:ascii="Times New Roman" w:hAnsi="Times New Roman"/>
          <w:b w:val="false"/>
          <w:i w:val="false"/>
          <w:color w:val="000000"/>
          <w:sz w:val="22"/>
        </w:rPr>
        <w:t>Electric curing ovens or curing ovens that run on natural gas or propane with a maximum heat input of less than 10 million Btu per hour and that are used for powder coating operations, provided that the total cured powder usage is less than 75 tons of powder per year at the stationary source. Records shall be maintained on site by the owner or operator for a period of at least two calendar years to demonstrate that cured powder usage is less than the exemption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dd.</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production painting, adhesive or coating unit using an application method other than a spray system and associated cleaning operations that use 1,000 gallons or less of coating and solvents annually, unless the production painting, adhesive or coating unit and associated cleaning operations are subject to work practice, process limits, emissions limits, stack testing, recordkeeping or reporting requirements under </w:t>
      </w:r>
      <w:hyperlink r:id="rId85">
        <w:r>
          <w:rPr>
            <w:rStyle w:val="Hyperlink"/>
            <w:rFonts w:ascii="Times New Roman" w:hAnsi="Times New Roman"/>
            <w:b w:val="false"/>
            <w:i w:val="false"/>
            <w:color w:val="000000"/>
            <w:sz w:val="22"/>
          </w:rPr>
          <w:t>567—subrule 23.1(2)</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23.1(3)</w:t>
        </w:r>
      </w:hyperlink>
      <w:r>
        <w:rPr>
          <w:rFonts w:ascii="Times New Roman" w:hAnsi="Times New Roman"/>
          <w:b w:val="false"/>
          <w:i w:val="false"/>
          <w:color w:val="000000"/>
          <w:sz w:val="22"/>
        </w:rPr>
        <w:t xml:space="preserve"> or </w:t>
      </w:r>
      <w:hyperlink r:id="rId87">
        <w:r>
          <w:rPr>
            <w:rStyle w:val="Hyperlink"/>
            <w:rFonts w:ascii="Times New Roman" w:hAnsi="Times New Roman"/>
            <w:b w:val="false"/>
            <w:i w:val="false"/>
            <w:color w:val="000000"/>
            <w:sz w:val="22"/>
          </w:rPr>
          <w:t>23.1(4)</w:t>
        </w:r>
      </w:hyperlink>
      <w:r>
        <w:rPr>
          <w:rFonts w:ascii="Times New Roman" w:hAnsi="Times New Roman"/>
          <w:b w:val="false"/>
          <w:i w:val="false"/>
          <w:color w:val="000000"/>
          <w:sz w:val="22"/>
        </w:rPr>
        <w:t>. Records shall be maintained on site by the owner or operator for a period of at least two calendar years to demonstrate that paint, adhesive, or solvent usage is at or below the exemption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ee.</w:t>
      </w:r>
      <w:r>
        <w:rPr>
          <w:rFonts w:ascii="Times New Roman" w:hAnsi="Times New Roman"/>
          <w:b w:val="false"/>
          <w:i w:val="false"/>
          <w:color w:val="000000"/>
          <w:sz w:val="22"/>
        </w:rPr>
        <w:t>  </w:t>
      </w:r>
      <w:r>
        <w:rPr>
          <w:rFonts w:ascii="Times New Roman" w:hAnsi="Times New Roman"/>
          <w:b w:val="false"/>
          <w:i w:val="false"/>
          <w:color w:val="000000"/>
          <w:sz w:val="22"/>
        </w:rPr>
        <w:t>Any production surface coating activity that uses only nonrefillable handheld aerosol cans, where the total volatile organic compound emissions from all these activities at a stationary source do not exceed 5.0 tons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ff.</w:t>
      </w:r>
      <w:r>
        <w:rPr>
          <w:rFonts w:ascii="Times New Roman" w:hAnsi="Times New Roman"/>
          <w:b w:val="false"/>
          <w:i w:val="false"/>
          <w:color w:val="000000"/>
          <w:sz w:val="22"/>
        </w:rPr>
        <w:t>  </w:t>
      </w:r>
      <w:r>
        <w:rPr>
          <w:rFonts w:ascii="Times New Roman" w:hAnsi="Times New Roman"/>
          <w:b w:val="false"/>
          <w:i w:val="false"/>
          <w:color w:val="000000"/>
          <w:sz w:val="22"/>
        </w:rPr>
        <w:t>Production welding.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Consumable electrode.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Welding operations for which initiation of construction, installation, reconstruction, or alteration (as defined in </w:t>
      </w:r>
      <w:hyperlink r:id="rId88">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on or before October 23, 2013, using a consumable electrode, provided that the consumable electrode used falls within American Welding Society specification A5.18/A5.18M for Gas Metal Arc Welding (GMAW), A5.1 or A5.5 for Shielded Metal Arc Welding (SMAW), and A5.20 for Flux Core Arc Welding (FCAW), and provided that the quantity of all electrodes used at the stationary source of the acceptable specifications is below 200,000 pounds per year for GMAW and 28,000 pounds per year for SMAW or FCAW. Records that identify the type and annual amount of welding electrode used shall be maintained on site by the owner or operator for a period of at least two calendar years. For stationary sources where electrode usage exceeds these levels, the welding activity at the stationary source may be exempted if the amount of electrode used (Y) is less than:</w:t>
      </w:r>
    </w:p>
    <w:p>
      <w:pPr>
        <w:spacing w:before="0" w:after="0"/>
        <w:ind w:left="120"/>
        <w:jc w:val="both"/>
      </w:pPr>
      <w:r>
        <w:rPr>
          <w:rFonts w:ascii="Times New Roman" w:hAnsi="Times New Roman"/>
          <w:b w:val="false"/>
          <w:i w:val="false"/>
          <w:color w:val="000000"/>
          <w:sz w:val="22"/>
        </w:rPr>
        <w:t>Y = the greater of 1380x - 19,200 or 200,000 for GMAW, or</w:t>
      </w:r>
    </w:p>
    <w:p>
      <w:pPr>
        <w:spacing w:before="0" w:after="0"/>
        <w:ind w:left="120"/>
        <w:jc w:val="both"/>
      </w:pPr>
      <w:r>
        <w:rPr>
          <w:rFonts w:ascii="Times New Roman" w:hAnsi="Times New Roman"/>
          <w:b w:val="false"/>
          <w:i w:val="false"/>
          <w:color w:val="000000"/>
          <w:sz w:val="22"/>
        </w:rPr>
        <w:t>Y = the greater of 187x - 2,600 or 28,000 for SMAW or FCAW</w:t>
      </w:r>
    </w:p>
    <w:p>
      <w:pPr>
        <w:spacing w:before="0" w:after="0"/>
        <w:ind w:left="120"/>
        <w:jc w:val="both"/>
      </w:pPr>
      <w:r>
        <w:rPr>
          <w:rFonts w:ascii="Times New Roman" w:hAnsi="Times New Roman"/>
          <w:b w:val="false"/>
          <w:i w:val="false"/>
          <w:color w:val="000000"/>
          <w:sz w:val="22"/>
        </w:rPr>
        <w:t>Where “x” is the minimum distance to the property line in feet and “Y” is the annual electrode usage in pounds per year.</w:t>
      </w:r>
    </w:p>
    <w:p>
      <w:pPr>
        <w:spacing w:before="0" w:after="0"/>
        <w:ind w:left="120"/>
        <w:jc w:val="both"/>
      </w:pPr>
      <w:r>
        <w:rPr>
          <w:rFonts w:ascii="Times New Roman" w:hAnsi="Times New Roman"/>
          <w:b w:val="false"/>
          <w:i w:val="false"/>
          <w:color w:val="000000"/>
          <w:sz w:val="22"/>
        </w:rPr>
        <w:t>If the stationary source has welding processes that fit into both of the specified exemptions, the most stringent limits must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Welding operations for which initiation of construction, installation, reconstruction, or alteration (as defined in </w:t>
      </w:r>
      <w:hyperlink r:id="rId89">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occurred after October 23, 2013, using a consumable electrode, provided that the consumable electrode used falls within American Welding Society specification A5.18/A5.18M for Gas Metal Arc Welding (GMAW), A5.1 or A5.5 for Shielded Metal Arc Welding (SMAW), and A5.20 for Flux Core Arc Welding (FCAW), and provided that the quantity of all electrodes used at the stationary source of the acceptable specifications is below 12,500 pounds per year for GMAW and 1,600 pounds per year for SMAW or FCAW. Records that identify the type and annual amount of welding electrode used shall be maintained on site by the owner or operator for a period of at least two calendar years. For stationary sources where electrode usage exceeds these levels, the welding activity at the stationary source may be exempted if the amount of electrode used (Y) is less than:</w:t>
      </w:r>
    </w:p>
    <w:p>
      <w:pPr>
        <w:spacing w:before="0" w:after="0"/>
        <w:ind w:left="120"/>
        <w:jc w:val="both"/>
      </w:pPr>
      <w:r>
        <w:rPr>
          <w:rFonts w:ascii="Times New Roman" w:hAnsi="Times New Roman"/>
          <w:b w:val="false"/>
          <w:i w:val="false"/>
          <w:color w:val="000000"/>
          <w:sz w:val="22"/>
        </w:rPr>
        <w:t>Y = the greater of 84x - 1,200 or 12,500 for GMAW, or</w:t>
      </w:r>
    </w:p>
    <w:p>
      <w:pPr>
        <w:spacing w:before="0" w:after="0"/>
        <w:ind w:left="120"/>
        <w:jc w:val="both"/>
      </w:pPr>
      <w:r>
        <w:rPr>
          <w:rFonts w:ascii="Times New Roman" w:hAnsi="Times New Roman"/>
          <w:b w:val="false"/>
          <w:i w:val="false"/>
          <w:color w:val="000000"/>
          <w:sz w:val="22"/>
        </w:rPr>
        <w:t>Y = the greater of 11x - 160 or 1,600 for SMAW or FCAW</w:t>
      </w:r>
    </w:p>
    <w:p>
      <w:pPr>
        <w:spacing w:before="0" w:after="0"/>
        <w:ind w:left="120"/>
        <w:jc w:val="both"/>
      </w:pPr>
      <w:r>
        <w:rPr>
          <w:rFonts w:ascii="Times New Roman" w:hAnsi="Times New Roman"/>
          <w:b w:val="false"/>
          <w:i w:val="false"/>
          <w:color w:val="000000"/>
          <w:sz w:val="22"/>
        </w:rPr>
        <w:t>Where “x” is the minimum distance to the property line in feet and “Y” is the annual electrode usage in pounds per year.</w:t>
      </w:r>
    </w:p>
    <w:p>
      <w:pPr>
        <w:spacing w:before="0" w:after="0"/>
        <w:ind w:left="120"/>
        <w:jc w:val="both"/>
      </w:pPr>
      <w:r>
        <w:rPr>
          <w:rFonts w:ascii="Times New Roman" w:hAnsi="Times New Roman"/>
          <w:b w:val="false"/>
          <w:i w:val="false"/>
          <w:color w:val="000000"/>
          <w:sz w:val="22"/>
        </w:rPr>
        <w:t>If the stationary source has welding processes that fit into both of the specified exemptions, the most stringent limits must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Resistance welding, submerged arc welding, or arc welding that does not use a consumable electrode, provided that the base metals do not include stainless steel, alloys of lead, alloys of arsenic, or alloys of beryllium and provided that the base metals are uncoated, excluding manufacturing process lubricants.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gg.</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 hand soldering, wave soldering, and electric solder paste reflow ovens for which initiation of construction, installation, reconstruction, or alteration (as defined in </w:t>
      </w:r>
      <w:hyperlink r:id="rId90">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on or before October 23, 2013. Electric hand soldering, wave soldering, and electric solder paste reflow ovens for which initiation of construction, installation, reconstruction, or alteration (as defined in </w:t>
      </w:r>
      <w:hyperlink r:id="rId91">
        <w:r>
          <w:rPr>
            <w:rStyle w:val="Hyperlink"/>
            <w:rFonts w:ascii="Times New Roman" w:hAnsi="Times New Roman"/>
            <w:b w:val="false"/>
            <w:i w:val="false"/>
            <w:color w:val="000000"/>
            <w:sz w:val="22"/>
          </w:rPr>
          <w:t>567—2.1</w:t>
        </w:r>
      </w:hyperlink>
      <w:r>
        <w:rPr>
          <w:rFonts w:ascii="Times New Roman" w:hAnsi="Times New Roman"/>
          <w:b w:val="false"/>
          <w:i w:val="false"/>
          <w:color w:val="000000"/>
          <w:sz w:val="22"/>
        </w:rPr>
        <w:t>(455B)) occurred after October 23, 2013, shall be limited to 37,000 pounds or less per year of lead-containing solder. Records shall be maintained on site by the owner or operator for at least two calendar years to demonstrate that use of lead-containing solder is less than the exemption thresholds.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hh.</w:t>
      </w:r>
      <w:r>
        <w:rPr>
          <w:rFonts w:ascii="Times New Roman" w:hAnsi="Times New Roman"/>
          <w:b w:val="false"/>
          <w:i w:val="false"/>
          <w:color w:val="000000"/>
          <w:sz w:val="22"/>
        </w:rPr>
        <w:t>  </w:t>
      </w:r>
      <w:r>
        <w:rPr>
          <w:rFonts w:ascii="Times New Roman" w:hAnsi="Times New Roman"/>
          <w:b w:val="false"/>
          <w:i w:val="false"/>
          <w:color w:val="000000"/>
          <w:sz w:val="22"/>
        </w:rPr>
        <w:t>Pressurized piping and storage systems for natural gas, propane, liquefied petroleum gas (LPG), and refrigerants, where emissions could only result from an upset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ii.</w:t>
      </w:r>
      <w:r>
        <w:rPr>
          <w:rFonts w:ascii="Times New Roman" w:hAnsi="Times New Roman"/>
          <w:b w:val="false"/>
          <w:i w:val="false"/>
          <w:color w:val="000000"/>
          <w:sz w:val="22"/>
        </w:rPr>
        <w:t>  </w:t>
      </w:r>
      <w:r>
        <w:rPr>
          <w:rFonts w:ascii="Times New Roman" w:hAnsi="Times New Roman"/>
          <w:b w:val="false"/>
          <w:i w:val="false"/>
          <w:color w:val="000000"/>
          <w:sz w:val="22"/>
        </w:rPr>
        <w:t>Emissions from the storage and mixing of paints and solvents associated with the painting operations, provided that the emissions from the storage and mixing are accounted for in an enforceable permit condition or are otherwise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jj.</w:t>
      </w:r>
      <w:r>
        <w:rPr>
          <w:rFonts w:ascii="Times New Roman" w:hAnsi="Times New Roman"/>
          <w:b w:val="false"/>
          <w:i w:val="false"/>
          <w:color w:val="000000"/>
          <w:sz w:val="22"/>
        </w:rPr>
        <w:t>  </w:t>
      </w:r>
      <w:r>
        <w:rPr>
          <w:rFonts w:ascii="Times New Roman" w:hAnsi="Times New Roman"/>
          <w:b w:val="false"/>
          <w:i w:val="false"/>
          <w:color w:val="000000"/>
          <w:sz w:val="22"/>
        </w:rPr>
        <w:t>Product labeling using laser and ink-jet printers with target distances less than or equal to six inches and an annual material throughput of less than 1,000 gallons per year as calculated on a stationary sourcewide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kk.</w:t>
      </w:r>
      <w:r>
        <w:rPr>
          <w:rFonts w:ascii="Times New Roman" w:hAnsi="Times New Roman"/>
          <w:b w:val="false"/>
          <w:i w:val="false"/>
          <w:color w:val="000000"/>
          <w:sz w:val="22"/>
        </w:rPr>
        <w:t>  </w:t>
      </w:r>
      <w:r>
        <w:rPr>
          <w:rFonts w:ascii="Times New Roman" w:hAnsi="Times New Roman"/>
          <w:b w:val="false"/>
          <w:i w:val="false"/>
          <w:color w:val="000000"/>
          <w:sz w:val="22"/>
        </w:rPr>
        <w:t>Equipment related to research and development activities at a stationary source,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Actual emissions from all research and development activities at the stationary source based on a 12-month rolling total are less than the following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2 pounds per year of lead and lead compounds expressed as lead (40 pounds per year for research and development activities that commenced on or before October 23,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5 tons per year of sulfur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5 tons per year of nitrogen oxides;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5 tons per year of volatile organic compounds;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5 tons per year of carbon monoxide;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5 tons per year of particulate matter (particulate matter as defined in 40 CFR 51.100(pp) as amended through November 7,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2.5 tons per year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0.52 tons per year of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(does not apply to research and development activities that commenced on or before October 23, 2013);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5 tons per year of hazardous pollutants (as defined in </w:t>
      </w:r>
      <w:hyperlink r:id="rId92">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maintains records of actual operations demonstrating that the annual emissions from all research and development activities conducted under this exemption are below the levels listed in </w:t>
      </w:r>
      <w:hyperlink r:id="rId93">
        <w:r>
          <w:rPr>
            <w:rStyle w:val="Hyperlink"/>
            <w:rFonts w:ascii="Times New Roman" w:hAnsi="Times New Roman"/>
            <w:b w:val="false"/>
            <w:i w:val="false"/>
            <w:color w:val="000000"/>
            <w:sz w:val="22"/>
          </w:rPr>
          <w:t>22.1(2)</w:t>
        </w:r>
      </w:hyperlink>
      <w:r>
        <w:rPr>
          <w:rFonts w:ascii="Times New Roman" w:hAnsi="Times New Roman"/>
          <w:b w:val="false"/>
          <w:i/>
          <w:color w:val="000000"/>
          <w:sz w:val="22"/>
        </w:rPr>
        <w:t>“kk”</w:t>
      </w:r>
      <w:r>
        <w:rPr>
          <w:rFonts w:ascii="Times New Roman" w:hAnsi="Times New Roman"/>
          <w:b w:val="false"/>
          <w:i w:val="false"/>
          <w:color w:val="000000"/>
          <w:sz w:val="22"/>
        </w:rPr>
        <w:t>(1). These records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 a list of equipment that is included under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records of actual operation and detailed calculations of actual annual emissions, reflecting the use of any control equipment and demonstrating that the emissions are below the levels specified in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if air pollution equipment is used in the calculation of emissions, a copy of any report of manufacturer’s testing, if available. The department may require a test if it believes that a test is necessary for the exemption claim;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Be maintained on site for a minimum of two years, be made available for review during normal business hours and for state and EPA on-site inspections, and be provided to the director or the director’s designee upon request. Facilities designated as major sources pursuant to </w:t>
      </w:r>
      <w:hyperlink r:id="rId94">
        <w:r>
          <w:rPr>
            <w:rStyle w:val="Hyperlink"/>
            <w:rFonts w:ascii="Times New Roman" w:hAnsi="Times New Roman"/>
            <w:b w:val="false"/>
            <w:i w:val="false"/>
            <w:color w:val="000000"/>
            <w:sz w:val="22"/>
          </w:rPr>
          <w:t>567—22.4</w:t>
        </w:r>
      </w:hyperlink>
      <w:r>
        <w:rPr>
          <w:rFonts w:ascii="Times New Roman" w:hAnsi="Times New Roman"/>
          <w:b w:val="false"/>
          <w:i w:val="false"/>
          <w:color w:val="000000"/>
          <w:sz w:val="22"/>
        </w:rPr>
        <w:t xml:space="preserve">(455B) and </w:t>
      </w:r>
      <w:hyperlink r:id="rId95">
        <w:r>
          <w:rPr>
            <w:rStyle w:val="Hyperlink"/>
            <w:rFonts w:ascii="Times New Roman" w:hAnsi="Times New Roman"/>
            <w:b w:val="false"/>
            <w:i w:val="false"/>
            <w:color w:val="000000"/>
            <w:sz w:val="22"/>
          </w:rPr>
          <w:t>567—24.101</w:t>
        </w:r>
      </w:hyperlink>
      <w:r>
        <w:rPr>
          <w:rFonts w:ascii="Times New Roman" w:hAnsi="Times New Roman"/>
          <w:b w:val="false"/>
          <w:i w:val="false"/>
          <w:color w:val="000000"/>
          <w:sz w:val="22"/>
        </w:rPr>
        <w:t>(455B), or subject to any applicable federal requirements, shall retain all records demonstrating compliance with this exemption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owner or operator using this exemption obtains a construction permit or ceases operation of equipment if operation of the equipment would cause the emission levels listed in this exemption to be exceeded.</w:t>
      </w:r>
    </w:p>
    <w:p>
      <w:pPr>
        <w:spacing w:before="0" w:after="0"/>
        <w:ind w:left="120"/>
        <w:jc w:val="both"/>
      </w:pPr>
      <w:r>
        <w:rPr>
          <w:rFonts w:ascii="Times New Roman" w:hAnsi="Times New Roman"/>
          <w:b w:val="false"/>
          <w:i w:val="false"/>
          <w:color w:val="000000"/>
          <w:sz w:val="22"/>
        </w:rPr>
        <w:t>For the purposes of this exemption, “research and development activities” shall be defined as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That are operated under the close supervision of technically trained 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That are conducted for the primary purpose of theoretical research or research and development into new or improved processes and 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do not manufacture more than de minimus amounts of commercial products;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That do not contribute to the manufacture of commercial products by collocated sources in more than a de minimus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ll.</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regional collection center (RCC), as defined in </w:t>
      </w:r>
      <w:hyperlink r:id="rId96">
        <w:r>
          <w:rPr>
            <w:rStyle w:val="Hyperlink"/>
            <w:rFonts w:ascii="Times New Roman" w:hAnsi="Times New Roman"/>
            <w:b w:val="false"/>
            <w:i w:val="false"/>
            <w:color w:val="000000"/>
            <w:sz w:val="22"/>
          </w:rPr>
          <w:t>567—Chapter 211</w:t>
        </w:r>
      </w:hyperlink>
      <w:r>
        <w:rPr>
          <w:rFonts w:ascii="Times New Roman" w:hAnsi="Times New Roman"/>
          <w:b w:val="false"/>
          <w:i w:val="false"/>
          <w:color w:val="000000"/>
          <w:sz w:val="22"/>
        </w:rPr>
        <w:t>, involved in the processing of permitted hazardous materials from households and conditionally exempt small quantity generators (CESQG), not to exceed 1,200,000 pounds of VOC-containing material in a 12-month rolling period. Latex paint drying may not exceed 120,000 pounds per year on a 12-month rolling total. Other nonprocessing emission units (e.g., standby generators and waste oil heaters) shall not be eligible to use this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mm.</w:t>
      </w:r>
      <w:r>
        <w:rPr>
          <w:rFonts w:ascii="Times New Roman" w:hAnsi="Times New Roman"/>
          <w:b w:val="false"/>
          <w:i w:val="false"/>
          <w:color w:val="000000"/>
          <w:sz w:val="22"/>
        </w:rPr>
        <w:t>  </w:t>
      </w:r>
      <w:r>
        <w:rPr>
          <w:rFonts w:ascii="Times New Roman" w:hAnsi="Times New Roman"/>
          <w:b w:val="false"/>
          <w:i w:val="false"/>
          <w:color w:val="000000"/>
          <w:sz w:val="22"/>
        </w:rPr>
        <w:t>Cold solvent cleaning machines that are not in-line cleaning machines, where the maximum vapor pressure of the solvents used shall not exceed 0.7 kPa (5 mmHg or 0.1 psi) at 20°C (68°F). The machine must be equipped with a tightly fitted cover or lid that shall be closed at all times except during parts entry and removal. This exemption cannot be used for cold solvent cleaning machines that use solvent containing methylene chloride (CAS # 75-09-2), perchloroethylene (CAS # 127-18-4), trichloroethylene (CAS # 79-01-6), 1,1,1-trichloroethane (CAS # 71-55-6), carbon tetrachloride (CAS # 56-23-5) or chloroform (CAS # 67-66-3), or any combination of these halogenated HAP solvents in a total concentration greater than 5 percent by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nn.</w:t>
      </w:r>
      <w:r>
        <w:rPr>
          <w:rFonts w:ascii="Times New Roman" w:hAnsi="Times New Roman"/>
          <w:b w:val="false"/>
          <w:i w:val="false"/>
          <w:color w:val="000000"/>
          <w:sz w:val="22"/>
        </w:rPr>
        <w:t>  </w:t>
      </w:r>
      <w:r>
        <w:rPr>
          <w:rFonts w:ascii="Times New Roman" w:hAnsi="Times New Roman"/>
          <w:b w:val="false"/>
          <w:i w:val="false"/>
          <w:color w:val="000000"/>
          <w:sz w:val="22"/>
        </w:rPr>
        <w:t xml:space="preserve">Emissions from mobile over-the-road trucks, and mobile agricultural and construction internal combustion engines that are operated only for repair or maintenance purposes at equipment repair shops or equipment dealerships, and only when the repair shops or equipment dealerships are not major sources as defined in </w:t>
      </w:r>
      <w:hyperlink r:id="rId97">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oo.</w:t>
      </w:r>
      <w:r>
        <w:rPr>
          <w:rFonts w:ascii="Times New Roman" w:hAnsi="Times New Roman"/>
          <w:b w:val="false"/>
          <w:i w:val="false"/>
          <w:color w:val="000000"/>
          <w:sz w:val="22"/>
        </w:rPr>
        <w:t>  </w:t>
      </w:r>
      <w:r>
        <w:rPr>
          <w:rFonts w:ascii="Times New Roman" w:hAnsi="Times New Roman"/>
          <w:b w:val="false"/>
          <w:i w:val="false"/>
          <w:color w:val="000000"/>
          <w:sz w:val="22"/>
        </w:rPr>
        <w:t>A nonroad diesel fueled engine, as “nonroad engine” is defined in 40 CFR Section 1068.30 as amended through January 24, 2023, with a brake horsepower rating of less than 1,100 at full load measured at the shaft, used to conduct periodic testing and maintenance on natural gas pipelines. For the purposes of this exemption, the manufacturer’s nameplate rating shall be defined as the brake horsepower output at the shaft at full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qualify for the exemption, the engine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used for periodic testing and maintenance on natural gas pipelines outside the compressor station, which shall not exceed 330 hours in any 12-month consecutive period at a single location;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used for periodic testing and maintenance on natural gas pipelines within the compressor station, which shall not exceed 330 hours in any 12-month consecutive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maintain a monthly record of the number of hours the engine operated and a record of the rolling 12-month total of the number of hours the engine operated for each location outside the compressor station and within the compressor station. These records shall be maintained for two years. Records shall be made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exemption shall not apply to the replacement or substitution of engines for backup power generation at a pipeline compressor 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permits. </w:t>
      </w:r>
      <w:r>
        <w:rPr>
          <w:rFonts w:ascii="Times New Roman" w:hAnsi="Times New Roman"/>
          <w:b w:val="false"/>
          <w:i w:val="false"/>
          <w:color w:val="000000"/>
          <w:sz w:val="22"/>
        </w:rPr>
        <w:t xml:space="preserve">The owner or operator of a new or modified stationary source shall apply for a construction permit. Construction permit applications, including the information referenced above and in </w:t>
      </w:r>
      <w:hyperlink r:id="rId98">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through </w:t>
      </w:r>
      <w:hyperlink r:id="rId99">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(455B), shall be submitted in the electronic format specified by the department, if electronic submittal is provided.</w:t>
      </w:r>
    </w:p>
    <w:p>
      <w:pPr>
        <w:spacing w:before="0" w:after="0"/>
        <w:ind w:left="120"/>
        <w:jc w:val="both"/>
      </w:pPr>
      <w:r>
        <w:rPr>
          <w:rFonts w:ascii="Times New Roman" w:hAnsi="Times New Roman"/>
          <w:b w:val="false"/>
          <w:i w:val="false"/>
          <w:color w:val="000000"/>
          <w:sz w:val="22"/>
        </w:rPr>
        <w:t xml:space="preserve">The owner or operator of any new or modified industrial anaerobic lagoon shall apply for a construction permit as specified in this subrule and as provided in </w:t>
      </w:r>
      <w:hyperlink r:id="rId100">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 xml:space="preserve">. The owner or operator of a new or modified anaerobic lagoon for an animal feeding operation shall apply for a construction permit as provided in </w:t>
      </w:r>
      <w:hyperlink r:id="rId101">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Regulatory applicability determinations. </w:t>
      </w:r>
      <w:r>
        <w:rPr>
          <w:rFonts w:ascii="Times New Roman" w:hAnsi="Times New Roman"/>
          <w:b w:val="false"/>
          <w:i w:val="false"/>
          <w:color w:val="000000"/>
          <w:sz w:val="22"/>
        </w:rPr>
        <w:t xml:space="preserve">If requested in writing, the director will review the design concepts of equipment and associated control equipment prior to application for a construction permit. The purpose of the review would be to determine the acceptability of the location of the equipment. If the review is requested, the requester shall supply the following information and submit a fee as required in </w:t>
      </w:r>
      <w:hyperlink r:id="rId102">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Preliminary plans and specifications of equipment and related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exact site location and a plot plan of the immediate area, including the distance to and height of nearby buildings and the estimated location and elevation of the emission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estimated emission rates of any air contaminants that are to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estimated exhaust gas temperature, velocity at the point of discharge, and stack diameter at the point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estimate of when construction would begin and when construction would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applications. </w:t>
      </w:r>
      <w:r>
        <w:rPr>
          <w:rFonts w:ascii="Times New Roman" w:hAnsi="Times New Roman"/>
          <w:b w:val="false"/>
          <w:i w:val="false"/>
          <w:color w:val="000000"/>
          <w:sz w:val="22"/>
        </w:rPr>
        <w:t xml:space="preserve">Each application for a construction permit shall be submitted to the department. Final plans and specifications for the proposed equipment or related control equipment shall be submitted with the application for a permit and shall be prepared by or under the direct supervision of a professional engineer licensed in the state of Iowa in conformance with Iowa Code section </w:t>
      </w:r>
      <w:hyperlink r:id="rId103">
        <w:r>
          <w:rPr>
            <w:rStyle w:val="Hyperlink"/>
            <w:rFonts w:ascii="Times New Roman" w:hAnsi="Times New Roman"/>
            <w:b w:val="false"/>
            <w:i w:val="false"/>
            <w:color w:val="000000"/>
            <w:sz w:val="22"/>
          </w:rPr>
          <w:t>542B.1</w:t>
        </w:r>
      </w:hyperlink>
      <w:r>
        <w:rPr>
          <w:rFonts w:ascii="Times New Roman" w:hAnsi="Times New Roman"/>
          <w:b w:val="false"/>
          <w:i w:val="false"/>
          <w:color w:val="000000"/>
          <w:sz w:val="22"/>
        </w:rPr>
        <w:t xml:space="preserve">, or consistent with the provisions of Iowa Code section </w:t>
      </w:r>
      <w:hyperlink r:id="rId104">
        <w:r>
          <w:rPr>
            <w:rStyle w:val="Hyperlink"/>
            <w:rFonts w:ascii="Times New Roman" w:hAnsi="Times New Roman"/>
            <w:b w:val="false"/>
            <w:i w:val="false"/>
            <w:color w:val="000000"/>
            <w:sz w:val="22"/>
          </w:rPr>
          <w:t>542B.26</w:t>
        </w:r>
      </w:hyperlink>
      <w:r>
        <w:rPr>
          <w:rFonts w:ascii="Times New Roman" w:hAnsi="Times New Roman"/>
          <w:b w:val="false"/>
          <w:i w:val="false"/>
          <w:color w:val="000000"/>
          <w:sz w:val="22"/>
        </w:rPr>
        <w:t xml:space="preserve"> for any full-time employee of any corporation while the employee is doing work for that corporation. The application for a permit to construct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equipment or control equipment covered by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scaled plot plan, including the distance and height of nearby buildings, and the location and elevation of existing and proposed emission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composition of the effluent stream, both before and after any control equipment with estimates of emission rates, concentration, volume and temperature;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physical and chemical characteristics of the air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proposed dates and description of any tests to be made by the owner or operator of the completed installation to verify compliance with applicable emission limits or standards of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Information pertaining to sampling port locations, scaffolding, power sources for operation of appropriate sampling instruments, and pertinent allied facilities for making tests to ascertain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Any additional information deemed necessary by the department to determine compliance with or applicability of </w:t>
      </w:r>
      <w:hyperlink r:id="rId105">
        <w:r>
          <w:rPr>
            <w:rStyle w:val="Hyperlink"/>
            <w:rFonts w:ascii="Times New Roman" w:hAnsi="Times New Roman"/>
            <w:b w:val="false"/>
            <w:i w:val="false"/>
            <w:color w:val="000000"/>
            <w:sz w:val="22"/>
          </w:rPr>
          <w:t>567—22.4</w:t>
        </w:r>
      </w:hyperlink>
      <w:r>
        <w:rPr>
          <w:rFonts w:ascii="Times New Roman" w:hAnsi="Times New Roman"/>
          <w:b w:val="false"/>
          <w:i w:val="false"/>
          <w:color w:val="000000"/>
          <w:sz w:val="22"/>
        </w:rPr>
        <w:t xml:space="preserve">(455B), </w:t>
      </w:r>
      <w:hyperlink r:id="rId106">
        <w:r>
          <w:rPr>
            <w:rStyle w:val="Hyperlink"/>
            <w:rFonts w:ascii="Times New Roman" w:hAnsi="Times New Roman"/>
            <w:b w:val="false"/>
            <w:i w:val="false"/>
            <w:color w:val="000000"/>
            <w:sz w:val="22"/>
          </w:rPr>
          <w:t>567—22.5</w:t>
        </w:r>
      </w:hyperlink>
      <w:r>
        <w:rPr>
          <w:rFonts w:ascii="Times New Roman" w:hAnsi="Times New Roman"/>
          <w:b w:val="false"/>
          <w:i w:val="false"/>
          <w:color w:val="000000"/>
          <w:sz w:val="22"/>
        </w:rPr>
        <w:t xml:space="preserve">(455B), </w:t>
      </w:r>
      <w:hyperlink r:id="rId107">
        <w:r>
          <w:rPr>
            <w:rStyle w:val="Hyperlink"/>
            <w:rFonts w:ascii="Times New Roman" w:hAnsi="Times New Roman"/>
            <w:b w:val="false"/>
            <w:i w:val="false"/>
            <w:color w:val="000000"/>
            <w:sz w:val="22"/>
          </w:rPr>
          <w:t>567—31.3</w:t>
        </w:r>
      </w:hyperlink>
      <w:r>
        <w:rPr>
          <w:rFonts w:ascii="Times New Roman" w:hAnsi="Times New Roman"/>
          <w:b w:val="false"/>
          <w:i w:val="false"/>
          <w:color w:val="000000"/>
          <w:sz w:val="22"/>
        </w:rPr>
        <w:t xml:space="preserve">(455B) and </w:t>
      </w:r>
      <w:hyperlink r:id="rId108">
        <w:r>
          <w:rPr>
            <w:rStyle w:val="Hyperlink"/>
            <w:rFonts w:ascii="Times New Roman" w:hAnsi="Times New Roman"/>
            <w:b w:val="false"/>
            <w:i w:val="false"/>
            <w:color w:val="000000"/>
            <w:sz w:val="22"/>
          </w:rPr>
          <w:t>567—33.3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signed statement that ensures the applicant’s legal entitlement to install and operate equipment covered by the permit application on the property identified in the permit application. A signed statement shall not be required for rock crushers, portable concrete or asphalt equipment used in conjunction with specific identified construction projects that are intended to be located at a site only for the duration of the specific, identified construction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submit a fee as required in </w:t>
      </w:r>
      <w:hyperlink r:id="rId109">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 xml:space="preserve"> to obtain a permit under </w:t>
      </w:r>
      <w:hyperlink r:id="rId110">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567—22.4</w:t>
        </w:r>
      </w:hyperlink>
      <w:r>
        <w:rPr>
          <w:rFonts w:ascii="Times New Roman" w:hAnsi="Times New Roman"/>
          <w:b w:val="false"/>
          <w:i w:val="false"/>
          <w:color w:val="000000"/>
          <w:sz w:val="22"/>
        </w:rPr>
        <w:t xml:space="preserve">(455B), </w:t>
      </w:r>
      <w:hyperlink r:id="rId112">
        <w:r>
          <w:rPr>
            <w:rStyle w:val="Hyperlink"/>
            <w:rFonts w:ascii="Times New Roman" w:hAnsi="Times New Roman"/>
            <w:b w:val="false"/>
            <w:i w:val="false"/>
            <w:color w:val="000000"/>
            <w:sz w:val="22"/>
          </w:rPr>
          <w:t>567—22.5</w:t>
        </w:r>
      </w:hyperlink>
      <w:r>
        <w:rPr>
          <w:rFonts w:ascii="Times New Roman" w:hAnsi="Times New Roman"/>
          <w:b w:val="false"/>
          <w:i w:val="false"/>
          <w:color w:val="000000"/>
          <w:sz w:val="22"/>
        </w:rPr>
        <w:t xml:space="preserve">(455B), </w:t>
      </w:r>
      <w:hyperlink r:id="rId113">
        <w:r>
          <w:rPr>
            <w:rStyle w:val="Hyperlink"/>
            <w:rFonts w:ascii="Times New Roman" w:hAnsi="Times New Roman"/>
            <w:b w:val="false"/>
            <w:i w:val="false"/>
            <w:color w:val="000000"/>
            <w:sz w:val="22"/>
          </w:rPr>
          <w:t>567—22.8</w:t>
        </w:r>
      </w:hyperlink>
      <w:r>
        <w:rPr>
          <w:rFonts w:ascii="Times New Roman" w:hAnsi="Times New Roman"/>
          <w:b w:val="false"/>
          <w:i w:val="false"/>
          <w:color w:val="000000"/>
          <w:sz w:val="22"/>
        </w:rPr>
        <w:t xml:space="preserve">(455B), </w:t>
      </w:r>
      <w:hyperlink r:id="rId114">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 xml:space="preserve">(455B), </w:t>
      </w:r>
      <w:hyperlink r:id="rId115">
        <w:r>
          <w:rPr>
            <w:rStyle w:val="Hyperlink"/>
            <w:rFonts w:ascii="Times New Roman" w:hAnsi="Times New Roman"/>
            <w:b w:val="false"/>
            <w:i w:val="false"/>
            <w:color w:val="000000"/>
            <w:sz w:val="22"/>
          </w:rPr>
          <w:t>567—Chapter 31</w:t>
        </w:r>
      </w:hyperlink>
      <w:r>
        <w:rPr>
          <w:rFonts w:ascii="Times New Roman" w:hAnsi="Times New Roman"/>
          <w:b w:val="false"/>
          <w:i w:val="false"/>
          <w:color w:val="000000"/>
          <w:sz w:val="22"/>
        </w:rPr>
        <w:t xml:space="preserve"> or </w:t>
      </w:r>
      <w:hyperlink r:id="rId116">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application submittals from a minor source as defined in </w:t>
      </w:r>
      <w:hyperlink r:id="rId117">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 the department shall not initiate review and processing of a permit application submittal until all required application fees have been paid to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Quantity of greenhouse gas emissions for all applications for projects that will or do have greenhouse gas emissions. For all applications for projects that will not or do not have greenhouse gas emissions, the applicant shall indicate in the application that no greenhouse gases will be emitted and the applicant will not be required to file an inventory of greenhouse gases with that application, unless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for anaerobic lagoons. </w:t>
      </w:r>
      <w:r>
        <w:rPr>
          <w:rFonts w:ascii="Times New Roman" w:hAnsi="Times New Roman"/>
          <w:b w:val="false"/>
          <w:i w:val="false"/>
          <w:color w:val="000000"/>
          <w:sz w:val="22"/>
        </w:rPr>
        <w:t>The application for a permit to construct an anaerobic lagoon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source of the water being discharged to the lagoon;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plot plan, including distances to nearby residences or occupied buildings, local land use zoning maps of the vicinity, and a general description of the topography in the vicinity of the lagoon;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an animal feeding operation, the information required in </w:t>
      </w:r>
      <w:hyperlink r:id="rId118">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case of an industrial source, a chemical description of the waste being discharged to the lagoon;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of sulfate analyses conducted on the water to be used for any purpose in a livestock operation proposing to use an anaerobic lagoon. The report shall be prepared by using standard methods as defined in </w:t>
      </w:r>
      <w:hyperlink r:id="rId119">
        <w:r>
          <w:rPr>
            <w:rStyle w:val="Hyperlink"/>
            <w:rFonts w:ascii="Times New Roman" w:hAnsi="Times New Roman"/>
            <w:b w:val="false"/>
            <w:i w:val="false"/>
            <w:color w:val="000000"/>
            <w:sz w:val="22"/>
          </w:rPr>
          <w:t>567—60.2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available water supplies to prove that adequate water is available for dilution;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 the case of an animal feeding operation, a waste management plan describing the method of waste collection and disposal and the land to be used for disposal. Evidence that the waste disposal equipment is of sufficient size to dispose of the wastes within a 20-day period per year shall also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needed by the department to determine compliance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567—22.2</w:t>
      </w:r>
      <w:r>
        <w:rPr>
          <w:rFonts w:ascii="Times New Roman" w:hAnsi="Times New Roman"/>
          <w:b/>
          <w:i w:val="false"/>
          <w:color w:val="000000"/>
          <w:sz w:val="22"/>
        </w:rPr>
        <w:t xml:space="preserve">(455B) </w:t>
      </w:r>
      <w:r>
        <w:rPr>
          <w:rFonts w:ascii="Times New Roman" w:hAnsi="Times New Roman"/>
          <w:b/>
          <w:i w:val="false"/>
          <w:color w:val="000000"/>
          <w:sz w:val="22"/>
        </w:rPr>
        <w:t xml:space="preserve">Processing permit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applications. </w:t>
      </w:r>
      <w:r>
        <w:rPr>
          <w:rFonts w:ascii="Times New Roman" w:hAnsi="Times New Roman"/>
          <w:b w:val="false"/>
          <w:i w:val="false"/>
          <w:color w:val="000000"/>
          <w:sz w:val="22"/>
        </w:rPr>
        <w:t>The department will notify the applicant whether the application is complete or incomplete. If the application is found by the department to be incomplete upon receipt, the applicant will be notified within 30 days of that fact and of the specific deficiencies. Sixty days following such notification, the application may be denied for lack of information. When this schedule would cause undue hardship to an applicant, or the applicant has a compelling need to proceed promptly with the proposed installation, modification or location, a request for priority consideration and the justification therefor shall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color w:val="000000"/>
          <w:sz w:val="22"/>
        </w:rPr>
        <w:t xml:space="preserve">Public notice and participation. </w:t>
      </w:r>
      <w:r>
        <w:rPr>
          <w:rFonts w:ascii="Times New Roman" w:hAnsi="Times New Roman"/>
          <w:b w:val="false"/>
          <w:i w:val="false"/>
          <w:color w:val="000000"/>
          <w:sz w:val="22"/>
        </w:rPr>
        <w:t>A notice of intent to issue a construction permit to a major stationary source shall be published by the department in a newspaper having general circulation in the area affected by the emissions of the proposed source. The notice and supporting documentation shall be made available for public inspection upon request from the department’s central office. Publication of the notice shall be made at least 30 days prior to issuing a permit and shall include the department’s evaluation of ambient air impacts. The public may submit written comments or request a public hearing. If the response indicates significant interest, a public hearing may be held after due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w:t>
      </w:r>
      <w:r>
        <w:rPr>
          <w:rFonts w:ascii="Times New Roman" w:hAnsi="Times New Roman"/>
          <w:b w:val="false"/>
          <w:i w:val="false"/>
          <w:color w:val="000000"/>
          <w:sz w:val="22"/>
        </w:rPr>
        <w:t> </w:t>
      </w:r>
      <w:r>
        <w:rPr>
          <w:rFonts w:ascii="Times New Roman" w:hAnsi="Times New Roman"/>
          <w:b w:val="false"/>
          <w:i/>
          <w:color w:val="000000"/>
          <w:sz w:val="22"/>
        </w:rPr>
        <w:t xml:space="preserve">Final notice. </w:t>
      </w:r>
      <w:r>
        <w:rPr>
          <w:rFonts w:ascii="Times New Roman" w:hAnsi="Times New Roman"/>
          <w:b w:val="false"/>
          <w:i w:val="false"/>
          <w:color w:val="000000"/>
          <w:sz w:val="22"/>
        </w:rPr>
        <w:t xml:space="preserve">The department shall notify the applicant in writing of the issuance or denial of a construction permit as soon as practicable and at least within 120 days of receipt of the completed application. This shall not apply to applicants for electric generating facilities subject to Iowa Code chapter </w:t>
      </w:r>
      <w:hyperlink r:id="rId120">
        <w:r>
          <w:rPr>
            <w:rStyle w:val="Hyperlink"/>
            <w:rFonts w:ascii="Times New Roman" w:hAnsi="Times New Roman"/>
            <w:b w:val="false"/>
            <w:i w:val="false"/>
            <w:color w:val="000000"/>
            <w:sz w:val="22"/>
          </w:rPr>
          <w:t>476A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567—22.3</w:t>
      </w:r>
      <w:r>
        <w:rPr>
          <w:rFonts w:ascii="Times New Roman" w:hAnsi="Times New Roman"/>
          <w:b/>
          <w:i w:val="false"/>
          <w:color w:val="000000"/>
          <w:sz w:val="22"/>
        </w:rPr>
        <w:t xml:space="preserve">(455B) </w:t>
      </w:r>
      <w:r>
        <w:rPr>
          <w:rFonts w:ascii="Times New Roman" w:hAnsi="Times New Roman"/>
          <w:b/>
          <w:i w:val="false"/>
          <w:color w:val="000000"/>
          <w:sz w:val="22"/>
        </w:rPr>
        <w:t xml:space="preserve">Issuing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color w:val="000000"/>
          <w:sz w:val="22"/>
        </w:rPr>
        <w:t xml:space="preserve">Stationary sources other than anaerobic lagoons. </w:t>
      </w:r>
      <w:r>
        <w:rPr>
          <w:rFonts w:ascii="Times New Roman" w:hAnsi="Times New Roman"/>
          <w:b w:val="false"/>
          <w:i w:val="false"/>
          <w:color w:val="000000"/>
          <w:sz w:val="22"/>
        </w:rPr>
        <w:t>In no case shall a construction permit that results in an increase in emissions be issued to any facility that is in violation of any condition found in a permit involving PSD, NSPS, NESHAP or a provision of the Iowa state implementation plan (SIP). If the facility is in compliance with a schedule for correcting the violation and that schedule is contained in an order or permit condition, the department may consider issuance of a construction permit. A construction permit shall be issued when the director concludes that the preceding requirement has been met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required plans and specifications represent equipment that reasonably can be expected to comply with all applicable emission standards,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expected emissions from the proposed source or modification in conjunction with all other emissions will not prevent the attainment or maintenance of the ambient air quality standards specified in </w:t>
      </w:r>
      <w:hyperlink r:id="rId121">
        <w:r>
          <w:rPr>
            <w:rStyle w:val="Hyperlink"/>
            <w:rFonts w:ascii="Times New Roman" w:hAnsi="Times New Roman"/>
            <w:b w:val="false"/>
            <w:i w:val="false"/>
            <w:color w:val="000000"/>
            <w:sz w:val="22"/>
          </w:rPr>
          <w:t>567—22.11</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applicant has not relied on emission limits based on stack height that exceeds good engineering practice or any other dispersion techniques as defined in </w:t>
      </w:r>
      <w:hyperlink r:id="rId122">
        <w:r>
          <w:rPr>
            <w:rStyle w:val="Hyperlink"/>
            <w:rFonts w:ascii="Times New Roman" w:hAnsi="Times New Roman"/>
            <w:b w:val="false"/>
            <w:i w:val="false"/>
            <w:color w:val="000000"/>
            <w:sz w:val="22"/>
          </w:rPr>
          <w:t>567—subrule 23.1(6)</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the applicant has met all other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color w:val="000000"/>
          <w:sz w:val="22"/>
        </w:rPr>
        <w:t xml:space="preserve">Anaerobic lagoons. </w:t>
      </w:r>
      <w:r>
        <w:rPr>
          <w:rFonts w:ascii="Times New Roman" w:hAnsi="Times New Roman"/>
          <w:b w:val="false"/>
          <w:i w:val="false"/>
          <w:color w:val="000000"/>
          <w:sz w:val="22"/>
        </w:rPr>
        <w:t xml:space="preserve">A construction permit for an industrial anaerobic lagoon shall be issued when the director concludes that the application for permit represents an approach to odor control that can reasonably be expected to comply with the criteria in </w:t>
      </w:r>
      <w:hyperlink r:id="rId123">
        <w:r>
          <w:rPr>
            <w:rStyle w:val="Hyperlink"/>
            <w:rFonts w:ascii="Times New Roman" w:hAnsi="Times New Roman"/>
            <w:b w:val="false"/>
            <w:i w:val="false"/>
            <w:color w:val="000000"/>
            <w:sz w:val="22"/>
          </w:rPr>
          <w:t>567—subrule 23.5(2)</w:t>
        </w:r>
      </w:hyperlink>
      <w:r>
        <w:rPr>
          <w:rFonts w:ascii="Times New Roman" w:hAnsi="Times New Roman"/>
          <w:b w:val="false"/>
          <w:i w:val="false"/>
          <w:color w:val="000000"/>
          <w:sz w:val="22"/>
        </w:rPr>
        <w:t xml:space="preserve">. A construction permit for an animal feeding operation using an anaerobic lagoon shall be issued when the director concludes that the application has met the requirements of </w:t>
      </w:r>
      <w:hyperlink r:id="rId124">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w:t>
      </w:r>
      <w:r>
        <w:rPr>
          <w:rFonts w:ascii="Times New Roman" w:hAnsi="Times New Roman"/>
          <w:b w:val="false"/>
          <w:i w:val="false"/>
          <w:color w:val="000000"/>
          <w:sz w:val="22"/>
        </w:rPr>
        <w:t> </w:t>
      </w:r>
      <w:r>
        <w:rPr>
          <w:rFonts w:ascii="Times New Roman" w:hAnsi="Times New Roman"/>
          <w:b w:val="false"/>
          <w:i/>
          <w:color w:val="000000"/>
          <w:sz w:val="22"/>
        </w:rPr>
        <w:t xml:space="preserve">Conditions of approval. </w:t>
      </w:r>
      <w:r>
        <w:rPr>
          <w:rFonts w:ascii="Times New Roman" w:hAnsi="Times New Roman"/>
          <w:b w:val="false"/>
          <w:i w:val="false"/>
          <w:color w:val="000000"/>
          <w:sz w:val="22"/>
        </w:rPr>
        <w:t>A permit may be issued subject to conditions that shall be specified in writing. Such conditions may include but are not limited to emission limits, operating conditions, fuel specifications, compliance testing, continuous monitoring, and excess emission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permit shall specify the date on which it becomes void if work on the installation for which it was issued has not been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permit shall list the requirements for notifying the department of the dates of intended startup, start of construction and actual equipment startup. All notifications shall be in writing and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or dates required by </w:t>
      </w:r>
      <w:hyperlink r:id="rId125">
        <w:r>
          <w:rPr>
            <w:rStyle w:val="Hyperlink"/>
            <w:rFonts w:ascii="Times New Roman" w:hAnsi="Times New Roman"/>
            <w:b w:val="false"/>
            <w:i w:val="false"/>
            <w:color w:val="000000"/>
            <w:sz w:val="22"/>
          </w:rPr>
          <w:t>22.3(3)</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which the notice is being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Facility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Facility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DNR-assigned facility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DNR air construction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or the number of the emission unit or units in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emission point number or numbers in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name and signature of a company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date the notification was 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permit shall specify that no review has been undertaken on the various engineering aspects of the equipment other than the potential of the equipment for reducing air contaminant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changes in the final plans and specifications are proposed by the permittee after a construction permit has been issued, a supplemental permit shall be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permit is not transferable from one location to another or from one piece of equipment to another unless the equipment is portable. When portable equipment for which a permit has been issued is to be transferred from one location to another, the department shall be notified in writing at least seven days prior to the transfer of the portable equipment to the new location. Written notification shall be submitted to the department through one of the following methods: electronic mail (email), mail delivery service (including U.S. Mail), hand delivery, facsimile (fax), or by electronic format specified by the department (at such time as an Internet-based submittal system or other, similar electronic submittal system becomes available). However, if the owner or operator is relocating the portable equipment to an area currently classified as nonattainment for ambient air quality standards or to an area under a maintenance plan for ambient air quality standards, the owner or operator shall notify the department at least 14 days prior to transferring the portable equipment to the new location. A list of nonattainment and maintenance areas may be obtained from the department, upon request, or on the department’s Internet website. The owner or operator will be notified by the department at least ten days prior to the scheduled relocation if said relocation will prevent the attainment or maintenance of ambient air quality standards and thus require a more stringent emission standard and the installation of additional control equipment. In such a case, the owner or operator shall obtain a supplemental permit prior to the initiation of construction, installation, or alteration of such additional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issuance of a permit (approval to construct) shall not relieve any owner or operator of the responsibility to comply fully with applicable provisions of the SIP and any other requirement under local,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w:t>
      </w:r>
      <w:r>
        <w:rPr>
          <w:rFonts w:ascii="Times New Roman" w:hAnsi="Times New Roman"/>
          <w:b w:val="false"/>
          <w:i w:val="false"/>
          <w:color w:val="000000"/>
          <w:sz w:val="22"/>
        </w:rPr>
        <w:t> </w:t>
      </w:r>
      <w:r>
        <w:rPr>
          <w:rFonts w:ascii="Times New Roman" w:hAnsi="Times New Roman"/>
          <w:b w:val="false"/>
          <w:i/>
          <w:color w:val="000000"/>
          <w:sz w:val="22"/>
        </w:rPr>
        <w:t xml:space="preserve">Denial of a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application for a construction permit is denied, the applicant shall be notified in writing of the reasons therefor. A denial shall be without prejudice to the right of the applicant to file a further application after revisions are made to meet the objections specified as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deny an application based upon the applicant’s failure to provide a signed statement of the applicant’s legal entitlement to install and operate equipment covered by the permit application on the property identified in the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22.3(5)</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a permit. </w:t>
      </w:r>
      <w:r>
        <w:rPr>
          <w:rFonts w:ascii="Times New Roman" w:hAnsi="Times New Roman"/>
          <w:b w:val="false"/>
          <w:i w:val="false"/>
          <w:color w:val="000000"/>
          <w:sz w:val="22"/>
        </w:rPr>
        <w:t>The director may, after public notice of such decision, modify a condition of approval of an existing permit for a major stationary source or an emission limit contained in an existing permit for a major stationary source if necessary to attain or maintain an ambient air quality standard, or to mitigate excessive deposition of mercury.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22.3(6)</w:t>
      </w:r>
      <w:r>
        <w:rPr>
          <w:rFonts w:ascii="Times New Roman" w:hAnsi="Times New Roman"/>
          <w:b w:val="false"/>
          <w:i w:val="false"/>
          <w:color w:val="000000"/>
          <w:sz w:val="22"/>
        </w:rPr>
        <w:t> </w:t>
      </w:r>
      <w:r>
        <w:rPr>
          <w:rFonts w:ascii="Times New Roman" w:hAnsi="Times New Roman"/>
          <w:b w:val="false"/>
          <w:i/>
          <w:color w:val="000000"/>
          <w:sz w:val="22"/>
        </w:rPr>
        <w:t xml:space="preserve">Limits on hazardous air pollutants. </w:t>
      </w:r>
      <w:r>
        <w:rPr>
          <w:rFonts w:ascii="Times New Roman" w:hAnsi="Times New Roman"/>
          <w:b w:val="false"/>
          <w:i w:val="false"/>
          <w:color w:val="000000"/>
          <w:sz w:val="22"/>
        </w:rPr>
        <w:t xml:space="preserve">The department may limit a source’s hazardous air pollutant potential to emit, as defined in </w:t>
      </w:r>
      <w:hyperlink r:id="rId126">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in the source’s construction permit for the purpose of establishing federally enforceable limits on the source’s hazardous air pollutant potential to emit.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22.3(7)</w:t>
      </w:r>
      <w:r>
        <w:rPr>
          <w:rFonts w:ascii="Times New Roman" w:hAnsi="Times New Roman"/>
          <w:b w:val="false"/>
          <w:i w:val="false"/>
          <w:color w:val="000000"/>
          <w:sz w:val="22"/>
        </w:rPr>
        <w:t> </w:t>
      </w:r>
      <w:r>
        <w:rPr>
          <w:rFonts w:ascii="Times New Roman" w:hAnsi="Times New Roman"/>
          <w:b w:val="false"/>
          <w:i/>
          <w:color w:val="000000"/>
          <w:sz w:val="22"/>
        </w:rPr>
        <w:t xml:space="preserve">Revocation of a permit. </w:t>
      </w:r>
      <w:r>
        <w:rPr>
          <w:rFonts w:ascii="Times New Roman" w:hAnsi="Times New Roman"/>
          <w:b w:val="false"/>
          <w:i w:val="false"/>
          <w:color w:val="000000"/>
          <w:sz w:val="22"/>
        </w:rPr>
        <w:t>The department may revoke a permit upon obtaining knowledge that a permit holder has lost legal entitlement to use the property identified in the permit to install and operate equipment covered by the permit, upon notice that the property owner does not wish to have continued the operation of the permitted equipment, or upon notice that the owner of the permitted equipment no longer wishes to retain the permit for future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22.3(8)</w:t>
      </w:r>
      <w:r>
        <w:rPr>
          <w:rFonts w:ascii="Times New Roman" w:hAnsi="Times New Roman"/>
          <w:b w:val="false"/>
          <w:i w:val="false"/>
          <w:color w:val="000000"/>
          <w:sz w:val="22"/>
        </w:rPr>
        <w:t> </w:t>
      </w:r>
      <w:r>
        <w:rPr>
          <w:rFonts w:ascii="Times New Roman" w:hAnsi="Times New Roman"/>
          <w:b w:val="false"/>
          <w:i/>
          <w:color w:val="000000"/>
          <w:sz w:val="22"/>
        </w:rPr>
        <w:t xml:space="preserve">Ownership change of permitted equipment. </w:t>
      </w:r>
      <w:r>
        <w:rPr>
          <w:rFonts w:ascii="Times New Roman" w:hAnsi="Times New Roman"/>
          <w:b w:val="false"/>
          <w:i w:val="false"/>
          <w:color w:val="000000"/>
          <w:sz w:val="22"/>
        </w:rPr>
        <w:t xml:space="preserve">The new owner shall notify the department in writing no later than 30 days after the change in ownership of equipment covered by a construction permit pursuant to </w:t>
      </w:r>
      <w:hyperlink r:id="rId127">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The notification to the department shall be mailed to the Air Quality Bureau, Iowa Department of Natural Resources, 6200 Park Avenue, Suite 200, Des Moines, Iowa 50312, and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ownership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responsible official, the contact person and the owner of the equipment both before and after ownership change;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construction permit number of the equipment changing ownership.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567—22.4</w:t>
      </w:r>
      <w:r>
        <w:rPr>
          <w:rFonts w:ascii="Times New Roman" w:hAnsi="Times New Roman"/>
          <w:b/>
          <w:i w:val="false"/>
          <w:color w:val="000000"/>
          <w:sz w:val="22"/>
        </w:rPr>
        <w:t xml:space="preserve">(455B) </w:t>
      </w:r>
      <w:r>
        <w:rPr>
          <w:rFonts w:ascii="Times New Roman" w:hAnsi="Times New Roman"/>
          <w:b/>
          <w:i w:val="false"/>
          <w:color w:val="000000"/>
          <w:sz w:val="22"/>
        </w:rPr>
        <w:t xml:space="preserve">Major stationary sources located in areas designated attainment or unclassified (PSD). </w:t>
      </w:r>
      <w:r>
        <w:rPr>
          <w:rFonts w:ascii="Times New Roman" w:hAnsi="Times New Roman"/>
          <w:b w:val="false"/>
          <w:i w:val="false"/>
          <w:color w:val="000000"/>
          <w:sz w:val="22"/>
        </w:rPr>
        <w:t xml:space="preserve">As applicable, the owner or operator of a stationary source shall comply with the rules for new source review (NSR) for the PSD program as set forth in </w:t>
      </w:r>
      <w:hyperlink r:id="rId128">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An owner or operator required to apply for a construction permit under this rule shall submit all required fees as required in </w:t>
      </w:r>
      <w:hyperlink r:id="rId129">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567—22.5</w:t>
      </w:r>
      <w:r>
        <w:rPr>
          <w:rFonts w:ascii="Times New Roman" w:hAnsi="Times New Roman"/>
          <w:b/>
          <w:i w:val="false"/>
          <w:color w:val="000000"/>
          <w:sz w:val="22"/>
        </w:rPr>
        <w:t xml:space="preserve">(455B) </w:t>
      </w:r>
      <w:r>
        <w:rPr>
          <w:rFonts w:ascii="Times New Roman" w:hAnsi="Times New Roman"/>
          <w:b/>
          <w:i w:val="false"/>
          <w:color w:val="000000"/>
          <w:sz w:val="22"/>
        </w:rPr>
        <w:t xml:space="preserve">Major stationary sources located in areas designated nonattainment. </w:t>
      </w:r>
      <w:r>
        <w:rPr>
          <w:rFonts w:ascii="Times New Roman" w:hAnsi="Times New Roman"/>
          <w:b w:val="false"/>
          <w:i w:val="false"/>
          <w:color w:val="000000"/>
          <w:sz w:val="22"/>
        </w:rPr>
        <w:t xml:space="preserve">As applicable, the owner or operator of a stationary source shall comply with the requirements for the nonattainment major NSR program as set forth in </w:t>
      </w:r>
      <w:hyperlink r:id="rId130">
        <w:r>
          <w:rPr>
            <w:rStyle w:val="Hyperlink"/>
            <w:rFonts w:ascii="Times New Roman" w:hAnsi="Times New Roman"/>
            <w:b w:val="false"/>
            <w:i w:val="false"/>
            <w:color w:val="000000"/>
            <w:sz w:val="22"/>
          </w:rPr>
          <w:t>567—31.20</w:t>
        </w:r>
      </w:hyperlink>
      <w:r>
        <w:rPr>
          <w:rFonts w:ascii="Times New Roman" w:hAnsi="Times New Roman"/>
          <w:b w:val="false"/>
          <w:i w:val="false"/>
          <w:color w:val="000000"/>
          <w:sz w:val="22"/>
        </w:rPr>
        <w:t xml:space="preserve">(455B). An owner or operator required to apply for a construction permit under this rule shall submit all required fees as required in </w:t>
      </w:r>
      <w:hyperlink r:id="rId131">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567—22.6</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567—22.7</w:t>
      </w:r>
      <w:r>
        <w:rPr>
          <w:rFonts w:ascii="Times New Roman" w:hAnsi="Times New Roman"/>
          <w:b/>
          <w:i w:val="false"/>
          <w:color w:val="000000"/>
          <w:sz w:val="22"/>
        </w:rPr>
        <w:t xml:space="preserve">(455B) </w:t>
      </w:r>
      <w:r>
        <w:rPr>
          <w:rFonts w:ascii="Times New Roman" w:hAnsi="Times New Roman"/>
          <w:b/>
          <w:i w:val="false"/>
          <w:color w:val="000000"/>
          <w:sz w:val="22"/>
        </w:rPr>
        <w:t xml:space="preserve">Alternative emission control program (bubble concept).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 owner or operator of any source located in an area with attainment or unclassified status (as published at 40 CFR Section 81.316) or located in an area with an approved SIP demonstrating attainment by the statutory deadline may apply for an alternative set of emission limits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is presently in compliance with EPA-approved SIP requirements,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is subject to a consent order to meet an EPA-approved compliance schedule and the final compliance date will not be delayed by the use of alternative emission limits.</w:t>
      </w:r>
    </w:p>
    <w:p>
      <w:pPr>
        <w:spacing w:before="0" w:after="0"/>
        <w:ind w:left="120"/>
        <w:jc w:val="both"/>
      </w:pPr>
      <w:r>
        <w:rPr>
          <w:rFonts w:ascii="Times New Roman" w:hAnsi="Times New Roman"/>
          <w:b w:val="false"/>
          <w:i w:val="false"/>
          <w:color w:val="000000"/>
          <w:sz w:val="22"/>
        </w:rPr>
        <w:t xml:space="preserve">Emission limits for individual emission points included in </w:t>
      </w:r>
      <w:hyperlink r:id="rId132">
        <w:r>
          <w:rPr>
            <w:rStyle w:val="Hyperlink"/>
            <w:rFonts w:ascii="Times New Roman" w:hAnsi="Times New Roman"/>
            <w:b w:val="false"/>
            <w:i w:val="false"/>
            <w:color w:val="000000"/>
            <w:sz w:val="22"/>
          </w:rPr>
          <w:t>567—23.3</w:t>
        </w:r>
      </w:hyperlink>
      <w:r>
        <w:rPr>
          <w:rFonts w:ascii="Times New Roman" w:hAnsi="Times New Roman"/>
          <w:b w:val="false"/>
          <w:i w:val="false"/>
          <w:color w:val="000000"/>
          <w:sz w:val="22"/>
        </w:rPr>
        <w:t xml:space="preserve">(455B) (except </w:t>
      </w:r>
      <w:hyperlink r:id="rId133">
        <w:r>
          <w:rPr>
            <w:rStyle w:val="Hyperlink"/>
            <w:rFonts w:ascii="Times New Roman" w:hAnsi="Times New Roman"/>
            <w:b w:val="false"/>
            <w:i w:val="false"/>
            <w:color w:val="000000"/>
            <w:sz w:val="22"/>
          </w:rPr>
          <w:t>23.3(2)</w:t>
        </w:r>
      </w:hyperlink>
      <w:r>
        <w:rPr>
          <w:rFonts w:ascii="Times New Roman" w:hAnsi="Times New Roman"/>
          <w:b w:val="false"/>
          <w:i/>
          <w:color w:val="000000"/>
          <w:sz w:val="22"/>
        </w:rPr>
        <w:t>“d,”</w:t>
      </w:r>
      <w:hyperlink r:id="rId134">
        <w:r>
          <w:rPr>
            <w:rStyle w:val="Hyperlink"/>
            <w:rFonts w:ascii="Times New Roman" w:hAnsi="Times New Roman"/>
            <w:b w:val="false"/>
            <w:i w:val="false"/>
            <w:color w:val="000000"/>
            <w:sz w:val="22"/>
          </w:rPr>
          <w:t>23.3(2)</w:t>
        </w:r>
      </w:hyperlink>
      <w:r>
        <w:rPr>
          <w:rFonts w:ascii="Times New Roman" w:hAnsi="Times New Roman"/>
          <w:b w:val="false"/>
          <w:i/>
          <w:color w:val="000000"/>
          <w:sz w:val="22"/>
        </w:rPr>
        <w:t>“b”</w:t>
      </w:r>
      <w:r>
        <w:rPr>
          <w:rFonts w:ascii="Times New Roman" w:hAnsi="Times New Roman"/>
          <w:b w:val="false"/>
          <w:i w:val="false"/>
          <w:color w:val="000000"/>
          <w:sz w:val="22"/>
        </w:rPr>
        <w:t xml:space="preserve">(3), and </w:t>
      </w:r>
      <w:hyperlink r:id="rId135">
        <w:r>
          <w:rPr>
            <w:rStyle w:val="Hyperlink"/>
            <w:rFonts w:ascii="Times New Roman" w:hAnsi="Times New Roman"/>
            <w:b w:val="false"/>
            <w:i w:val="false"/>
            <w:color w:val="000000"/>
            <w:sz w:val="22"/>
          </w:rPr>
          <w:t>23.3(3)</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136">
        <w:r>
          <w:rPr>
            <w:rStyle w:val="Hyperlink"/>
            <w:rFonts w:ascii="Times New Roman" w:hAnsi="Times New Roman"/>
            <w:b w:val="false"/>
            <w:i w:val="false"/>
            <w:color w:val="000000"/>
            <w:sz w:val="22"/>
          </w:rPr>
          <w:t>567—23.4</w:t>
        </w:r>
      </w:hyperlink>
      <w:r>
        <w:rPr>
          <w:rFonts w:ascii="Times New Roman" w:hAnsi="Times New Roman"/>
          <w:b w:val="false"/>
          <w:i w:val="false"/>
          <w:color w:val="000000"/>
          <w:sz w:val="22"/>
        </w:rPr>
        <w:t xml:space="preserve">(455B) (except </w:t>
      </w:r>
      <w:hyperlink r:id="rId137">
        <w:r>
          <w:rPr>
            <w:rStyle w:val="Hyperlink"/>
            <w:rFonts w:ascii="Times New Roman" w:hAnsi="Times New Roman"/>
            <w:b w:val="false"/>
            <w:i w:val="false"/>
            <w:color w:val="000000"/>
            <w:sz w:val="22"/>
          </w:rPr>
          <w:t>23.4(12)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38">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may be replaced by alternative emission limits. Under this rule, less stringent control limits where costs of emission control are high may be allowed in exchange for more stringent control limits where costs of control are less expensive.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22.7(2)</w:t>
      </w:r>
      <w:r>
        <w:rPr>
          <w:rFonts w:ascii="Times New Roman" w:hAnsi="Times New Roman"/>
          <w:b w:val="false"/>
          <w:i w:val="false"/>
          <w:color w:val="000000"/>
          <w:sz w:val="22"/>
        </w:rPr>
        <w:t> </w:t>
      </w:r>
      <w:r>
        <w:rPr>
          <w:rFonts w:ascii="Times New Roman" w:hAnsi="Times New Roman"/>
          <w:b w:val="false"/>
          <w:i/>
          <w:color w:val="000000"/>
          <w:sz w:val="22"/>
        </w:rPr>
        <w:t xml:space="preserve">Demonstration requirements. </w:t>
      </w:r>
      <w:r>
        <w:rPr>
          <w:rFonts w:ascii="Times New Roman" w:hAnsi="Times New Roman"/>
          <w:b w:val="false"/>
          <w:i w:val="false"/>
          <w:color w:val="000000"/>
          <w:sz w:val="22"/>
        </w:rPr>
        <w:t>The applicant for the alternative emission control program shall have the burden of demonstrating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alternative emission control program will not interfere with the attainment and maintenance of ambient air quality standards, including the reasonable further progress or prevention of significant deterioration requirements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alternative emission limits are equivalent to existing emission limits in pollution reduction, enforceability, and environmental impact (in the case of a particulate nonattainment area, the difference between the allowable emission rate and the actual emission rate, as of January 1, 1978, cannot be credited in the emissions tradeoff);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pollutants being exchanged are comparable and within the same pollutant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Hazardous air pollutants designated in 40 CFR Part 61, as adopted by reference in </w:t>
      </w:r>
      <w:hyperlink r:id="rId139">
        <w:r>
          <w:rPr>
            <w:rStyle w:val="Hyperlink"/>
            <w:rFonts w:ascii="Times New Roman" w:hAnsi="Times New Roman"/>
            <w:b w:val="false"/>
            <w:i w:val="false"/>
            <w:color w:val="000000"/>
            <w:sz w:val="22"/>
          </w:rPr>
          <w:t>23.1(3)</w:t>
        </w:r>
      </w:hyperlink>
      <w:r>
        <w:rPr>
          <w:rFonts w:ascii="Times New Roman" w:hAnsi="Times New Roman"/>
          <w:b w:val="false"/>
          <w:i w:val="false"/>
          <w:color w:val="000000"/>
          <w:sz w:val="22"/>
        </w:rPr>
        <w:t>, will not be exchanged for nonhazardous air pollutants;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alternative program will not result in any delay in compliance by any source. Specific situations may require additional demonstration as specified in 44 FR 71780-71788, December 11, 1979, or as requested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any facility applying for an alternative emission control program that involves the trade-off of sulfur dioxide emissions shall install, calibrate, maintain and operate continuous sulfur dioxide monitoring equipment consistent with EPA reference methods (40 CFR Part 60, Appendix B). The equipment shall be operational within three months of EPA approval of an alternative emission control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22.7(3)</w:t>
      </w:r>
      <w:r>
        <w:rPr>
          <w:rFonts w:ascii="Times New Roman" w:hAnsi="Times New Roman"/>
          <w:b w:val="false"/>
          <w:i w:val="false"/>
          <w:color w:val="000000"/>
          <w:sz w:val="22"/>
        </w:rPr>
        <w:t> </w:t>
      </w:r>
      <w:r>
        <w:rPr>
          <w:rFonts w:ascii="Times New Roman" w:hAnsi="Times New Roman"/>
          <w:b w:val="false"/>
          <w:i/>
          <w:color w:val="000000"/>
          <w:sz w:val="22"/>
        </w:rPr>
        <w:t xml:space="preserve">Approval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shall review all alternative emission control program proposals and shall make recommendations on all completed demonstrations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receiving recommendations from the director and public comments made available through the hearing process, the commission may approve or disapprove the alternative emission control program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approved by the commission, the program will be forwarded to the EPA regional administrator as a revision to the SIP. The alternative emission control program must receive the approval of the EPA regional administrator prior to becoming effective.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567—22.8</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by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22.8(1)</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by rule for spray booths. Spray booths that comply with the requirements contained in this rule will be deemed to be in compliance with the requirements to obtain an air construction permit and an air operating permit. Spray booths that comply with this rule will be considered to have federally enforceable limits so that their potential emissions are less than the major source limits for regulated air pollutants and hazardous air pollutants as defined in </w:t>
      </w:r>
      <w:hyperlink r:id="rId140">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An owner or operator required to apply for a permit by rule under this subrule shall submit fees as required in </w:t>
      </w:r>
      <w:hyperlink r:id="rId141">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Definition. “Sprayed material” is material applied by spray equipment when used in a surface coating process in a spray booth, including but not limited to paint, solvents, and mixtures of paint and solvents. Powder coatings applied in an indoor-vented spray booth equipped with filters or overspray powder recovery systems are not considered sprayed material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that facility-wide spray one gallon per day or less of sprayed material are exempt from all other requirements in </w:t>
      </w:r>
      <w:hyperlink r:id="rId142">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 xml:space="preserve">, except that they must submit the certification in </w:t>
      </w:r>
      <w:hyperlink r:id="rId143">
        <w:r>
          <w:rPr>
            <w:rStyle w:val="Hyperlink"/>
            <w:rFonts w:ascii="Times New Roman" w:hAnsi="Times New Roman"/>
            <w:b w:val="false"/>
            <w:i w:val="false"/>
            <w:color w:val="000000"/>
            <w:sz w:val="22"/>
          </w:rPr>
          <w:t>22.8(1)</w:t>
        </w:r>
      </w:hyperlink>
      <w:r>
        <w:rPr>
          <w:rFonts w:ascii="Times New Roman" w:hAnsi="Times New Roman"/>
          <w:b w:val="false"/>
          <w:i/>
          <w:color w:val="000000"/>
          <w:sz w:val="22"/>
        </w:rPr>
        <w:t>“e”</w:t>
      </w:r>
      <w:r>
        <w:rPr>
          <w:rFonts w:ascii="Times New Roman" w:hAnsi="Times New Roman"/>
          <w:b w:val="false"/>
          <w:i w:val="false"/>
          <w:color w:val="000000"/>
          <w:sz w:val="22"/>
        </w:rPr>
        <w:t xml:space="preserve"> to the department and keep records of daily sprayed material use. Any spray booth or associated equipment for which initiation of construction, installation, reconstruction, or alteration (as defined in </w:t>
      </w:r>
      <w:hyperlink r:id="rId144">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after October 23, 2013, shall use sprayed material with a maximum lead content of 0.35 pounds or less per gallon if the booth or associated equipment is subject to the following NESHAP: 40 CFR Part 63, Subpart HHHHHH or Subpart XXXXXX. Any spray booth or associated equipment for which initiation of construction, installation, reconstruction, or alteration (as defined in </w:t>
      </w:r>
      <w:hyperlink r:id="rId145">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after October 23, 2013, that is not subject to the NESHAP or is otherwise exempt from the NESHAP shall use sprayed material with a maximum lead content of 0.02 pounds or less per gallon. The owner or operator must keep the records of daily sprayed material use for 18 months from the date to which the records apply and shall keep safety data sheets (SDS) or equivalent records for at least two calendar years to demonstrate that the sprayed materials contain lead at less than the exemption thresholds. The owner or operator must also certify that the facility is in compliance with or otherwise exempt from the federal regulations specified in </w:t>
      </w:r>
      <w:hyperlink r:id="rId146">
        <w:r>
          <w:rPr>
            <w:rStyle w:val="Hyperlink"/>
            <w:rFonts w:ascii="Times New Roman" w:hAnsi="Times New Roman"/>
            <w:b w:val="false"/>
            <w:i w:val="false"/>
            <w:color w:val="000000"/>
            <w:sz w:val="22"/>
          </w:rPr>
          <w:t>22.8(1)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that facility-wide spray more than one gallon per day but never more than three gallons per day are exempt from all other requirements in </w:t>
      </w:r>
      <w:hyperlink r:id="rId147">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 xml:space="preserve">, except that they must submit the certification in </w:t>
      </w:r>
      <w:hyperlink r:id="rId148">
        <w:r>
          <w:rPr>
            <w:rStyle w:val="Hyperlink"/>
            <w:rFonts w:ascii="Times New Roman" w:hAnsi="Times New Roman"/>
            <w:b w:val="false"/>
            <w:i w:val="false"/>
            <w:color w:val="000000"/>
            <w:sz w:val="22"/>
          </w:rPr>
          <w:t>22.8(1)</w:t>
        </w:r>
      </w:hyperlink>
      <w:r>
        <w:rPr>
          <w:rFonts w:ascii="Times New Roman" w:hAnsi="Times New Roman"/>
          <w:b w:val="false"/>
          <w:i/>
          <w:color w:val="000000"/>
          <w:sz w:val="22"/>
        </w:rPr>
        <w:t>“e”</w:t>
      </w:r>
      <w:r>
        <w:rPr>
          <w:rFonts w:ascii="Times New Roman" w:hAnsi="Times New Roman"/>
          <w:b w:val="false"/>
          <w:i w:val="false"/>
          <w:color w:val="000000"/>
          <w:sz w:val="22"/>
        </w:rPr>
        <w:t xml:space="preserve"> to the department, keep records of daily sprayed material use, and vent emissions from a spray booth(s) through a stack(s) that is at least 22 feet tall, measured from ground level. Any spray booth or associated equipment for which initiation of construction, installation, reconstruction, or alteration (as defined in </w:t>
      </w:r>
      <w:hyperlink r:id="rId149">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after October 23, 2013, shall use sprayed material with a maximum lead content of 0.35 pounds or less per gallon if the booth or associated equipment is subject to the following NESHAP: 40 CFR Part 63, Subpart HHHHHH or Subpart XXXXXX. Any spray booth or associated equipment for which initiation of construction, installation, reconstruction, or alteration (as defined in </w:t>
      </w:r>
      <w:hyperlink r:id="rId150">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occurred after October 23, 2013, that is not subject to the NESHAP or is otherwise exempt from the NESHAP shall use sprayed material with a maximum lead content of 0.02 pounds or less per gallon. The owner or operator must keep the records of daily sprayed material use for 18 months from the date to which the records apply and shall keep SDS or equivalent records for at least two calendar years to demonstrate that the sprayed materials contain lead at less than the exemption thresholds. The owner or operator must also certify that the facility is in compliance with or otherwise exempt from the federal regulations specified in </w:t>
      </w:r>
      <w:hyperlink r:id="rId151">
        <w:r>
          <w:rPr>
            <w:rStyle w:val="Hyperlink"/>
            <w:rFonts w:ascii="Times New Roman" w:hAnsi="Times New Roman"/>
            <w:b w:val="false"/>
            <w:i w:val="false"/>
            <w:color w:val="000000"/>
            <w:sz w:val="22"/>
          </w:rPr>
          <w:t>22.8(1)</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that facility-wide spray more than three gallons per day are not eligible to use the permit by rule for spray booths and must apply for a construction permit as required by </w:t>
      </w:r>
      <w:hyperlink r:id="rId152">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and </w:t>
      </w:r>
      <w:hyperlink r:id="rId153">
        <w:r>
          <w:rPr>
            <w:rStyle w:val="Hyperlink"/>
            <w:rFonts w:ascii="Times New Roman" w:hAnsi="Times New Roman"/>
            <w:b w:val="false"/>
            <w:i w:val="false"/>
            <w:color w:val="000000"/>
            <w:sz w:val="22"/>
          </w:rPr>
          <w:t>22.1(3)</w:t>
        </w:r>
      </w:hyperlink>
      <w:r>
        <w:rPr>
          <w:rFonts w:ascii="Times New Roman" w:hAnsi="Times New Roman"/>
          <w:b w:val="false"/>
          <w:i w:val="false"/>
          <w:color w:val="000000"/>
          <w:sz w:val="22"/>
        </w:rPr>
        <w:t>, unless otherwise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Certification. Facilities that claim to be permitted by provisions of this rule must submit to the department a written notification as directed by the department, certifying that the facility meets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spray booths and associated equipment are in compliance with the provisions of </w:t>
      </w:r>
      <w:hyperlink r:id="rId154">
        <w:r>
          <w:rPr>
            <w:rStyle w:val="Hyperlink"/>
            <w:rFonts w:ascii="Times New Roman" w:hAnsi="Times New Roman"/>
            <w:b w:val="false"/>
            <w:i w:val="false"/>
            <w:color w:val="000000"/>
            <w:sz w:val="22"/>
          </w:rPr>
          <w:t>22.8(1)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spray booths and associated equipment are in compliance with all applicable requirements including, but not limited to, the allowable particulate emission rate for painting and surface coating operations of 0.01 gr/scf of exhaust gas as specified in </w:t>
      </w:r>
      <w:hyperlink r:id="rId155">
        <w:r>
          <w:rPr>
            <w:rStyle w:val="Hyperlink"/>
            <w:rFonts w:ascii="Times New Roman" w:hAnsi="Times New Roman"/>
            <w:b w:val="false"/>
            <w:i w:val="false"/>
            <w:color w:val="000000"/>
            <w:sz w:val="22"/>
          </w:rPr>
          <w:t>567—subrule 23.4(13)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spray booths and associated equipment currently are or will be in compliance with or otherwise exempt from the NESHAP for paint stripping and miscellaneous surface coating at area sources (40 CFR Part 63, Subpart HHHHHH) and the NESHAP for metal fabricating and finishing at area sources (40 CFR Part 63, Subpart XXXXXX) by the applicable NESHAP compliance 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567—22.9</w:t>
      </w:r>
      <w:r>
        <w:rPr>
          <w:rFonts w:ascii="Times New Roman" w:hAnsi="Times New Roman"/>
          <w:b/>
          <w:i w:val="false"/>
          <w:color w:val="000000"/>
          <w:sz w:val="22"/>
        </w:rPr>
        <w:t xml:space="preserve">(455B) </w:t>
      </w:r>
      <w:r>
        <w:rPr>
          <w:rFonts w:ascii="Times New Roman" w:hAnsi="Times New Roman"/>
          <w:b/>
          <w:i w:val="false"/>
          <w:color w:val="000000"/>
          <w:sz w:val="22"/>
        </w:rPr>
        <w:t xml:space="preserve">Special requirements for visibility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val="false"/>
          <w:color w:val="000000"/>
          <w:sz w:val="22"/>
        </w:rPr>
        <w:t xml:space="preserve">to </w:t>
      </w:r>
      <w:r>
        <w:rPr>
          <w:rFonts w:ascii="Times New Roman" w:hAnsi="Times New Roman"/>
          <w:b/>
          <w:i w:val="false"/>
          <w:color w:val="000000"/>
          <w:sz w:val="22"/>
        </w:rPr>
        <w:t>22.9(3)</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22.9(4)</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For the purpose of the regional haze program under 40 CFR Section 51.308, as amended through January 10, 2017, the department shall notify in writing the owner, operator or designated representative of a source of the department’s determination that the source may cause or contribute to visibility impairment in any mandatory Class I area listed in 40 CFR Part 81, Subpart D, as amended through October 5, 1989.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22.9(5)</w:t>
      </w:r>
      <w:r>
        <w:rPr>
          <w:rFonts w:ascii="Times New Roman" w:hAnsi="Times New Roman"/>
          <w:b w:val="false"/>
          <w:i w:val="false"/>
          <w:color w:val="000000"/>
          <w:sz w:val="22"/>
        </w:rPr>
        <w:t> </w:t>
      </w:r>
      <w:r>
        <w:rPr>
          <w:rFonts w:ascii="Times New Roman" w:hAnsi="Times New Roman"/>
          <w:b w:val="false"/>
          <w:i/>
          <w:color w:val="000000"/>
          <w:sz w:val="22"/>
        </w:rPr>
        <w:t xml:space="preserve">Analysis. </w:t>
      </w:r>
      <w:r>
        <w:rPr>
          <w:rFonts w:ascii="Times New Roman" w:hAnsi="Times New Roman"/>
          <w:b w:val="false"/>
          <w:i w:val="false"/>
          <w:color w:val="000000"/>
          <w:sz w:val="22"/>
        </w:rPr>
        <w:t xml:space="preserve">The owner, operator, or designated representative of a source notified pursuant to </w:t>
      </w:r>
      <w:hyperlink r:id="rId156">
        <w:r>
          <w:rPr>
            <w:rStyle w:val="Hyperlink"/>
            <w:rFonts w:ascii="Times New Roman" w:hAnsi="Times New Roman"/>
            <w:b w:val="false"/>
            <w:i w:val="false"/>
            <w:color w:val="000000"/>
            <w:sz w:val="22"/>
          </w:rPr>
          <w:t>22.9(4)</w:t>
        </w:r>
      </w:hyperlink>
      <w:r>
        <w:rPr>
          <w:rFonts w:ascii="Times New Roman" w:hAnsi="Times New Roman"/>
          <w:b w:val="false"/>
          <w:i w:val="false"/>
          <w:color w:val="000000"/>
          <w:sz w:val="22"/>
        </w:rPr>
        <w:t xml:space="preserve"> shall prepare and submit an analysis to the department after receipt of written notification by the department that an analysis is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22.9(6)</w:t>
      </w:r>
      <w:r>
        <w:rPr>
          <w:rFonts w:ascii="Times New Roman" w:hAnsi="Times New Roman"/>
          <w:b w:val="false"/>
          <w:i w:val="false"/>
          <w:color w:val="000000"/>
          <w:sz w:val="22"/>
        </w:rPr>
        <w:t> </w:t>
      </w:r>
      <w:r>
        <w:rPr>
          <w:rFonts w:ascii="Times New Roman" w:hAnsi="Times New Roman"/>
          <w:b w:val="false"/>
          <w:i/>
          <w:color w:val="000000"/>
          <w:sz w:val="22"/>
        </w:rPr>
        <w:t xml:space="preserve">Control technology implementation. </w:t>
      </w:r>
      <w:r>
        <w:rPr>
          <w:rFonts w:ascii="Times New Roman" w:hAnsi="Times New Roman"/>
          <w:b w:val="false"/>
          <w:i w:val="false"/>
          <w:color w:val="000000"/>
          <w:sz w:val="22"/>
        </w:rPr>
        <w:t xml:space="preserve">Following the department’s review of the analysis submitted pursuant to </w:t>
      </w:r>
      <w:hyperlink r:id="rId157">
        <w:r>
          <w:rPr>
            <w:rStyle w:val="Hyperlink"/>
            <w:rFonts w:ascii="Times New Roman" w:hAnsi="Times New Roman"/>
            <w:b w:val="false"/>
            <w:i w:val="false"/>
            <w:color w:val="000000"/>
            <w:sz w:val="22"/>
          </w:rPr>
          <w:t>22.9(5)</w:t>
        </w:r>
      </w:hyperlink>
      <w:r>
        <w:rPr>
          <w:rFonts w:ascii="Times New Roman" w:hAnsi="Times New Roman"/>
          <w:b w:val="false"/>
          <w:i w:val="false"/>
          <w:color w:val="000000"/>
          <w:sz w:val="22"/>
        </w:rPr>
        <w:t xml:space="preserve">, an owner or operator of a source notified pursuant to </w:t>
      </w:r>
      <w:hyperlink r:id="rId158">
        <w:r>
          <w:rPr>
            <w:rStyle w:val="Hyperlink"/>
            <w:rFonts w:ascii="Times New Roman" w:hAnsi="Times New Roman"/>
            <w:b w:val="false"/>
            <w:i w:val="false"/>
            <w:color w:val="000000"/>
            <w:sz w:val="22"/>
          </w:rPr>
          <w:t>22.9(4)</w:t>
        </w:r>
      </w:hyperlink>
      <w:r>
        <w:rPr>
          <w:rFonts w:ascii="Times New Roman" w:hAnsi="Times New Roman"/>
          <w:b w:val="false"/>
          <w:i w:val="false"/>
          <w:color w:val="000000"/>
          <w:sz w:val="22"/>
        </w:rPr>
        <w:t xml:space="preser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all necessary permit applications to achieve the emissions requirements established following the completion of analysis performed in accordance with </w:t>
      </w:r>
      <w:hyperlink r:id="rId159">
        <w:r>
          <w:rPr>
            <w:rStyle w:val="Hyperlink"/>
            <w:rFonts w:ascii="Times New Roman" w:hAnsi="Times New Roman"/>
            <w:b w:val="false"/>
            <w:i w:val="false"/>
            <w:color w:val="000000"/>
            <w:sz w:val="22"/>
          </w:rPr>
          <w:t>22.9(5)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Install, operate, and maintain the control technology as required by permits issued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567—22.10</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Permitting requirements for country grain elevators, country grain terminal elevators, grain terminal elevators and feed mill equipment. </w:t>
      </w:r>
      <w:r>
        <w:rPr>
          <w:rFonts w:ascii="Times New Roman" w:hAnsi="Times New Roman"/>
          <w:b w:val="false"/>
          <w:i w:val="false"/>
          <w:color w:val="000000"/>
          <w:sz w:val="22"/>
        </w:rPr>
        <w:t xml:space="preserve">The requirements of this rule apply only to country grain elevators, country grain terminal elevators, grain terminal elevators and feed mill equipment, as these terms are defined in </w:t>
      </w:r>
      <w:hyperlink r:id="rId160">
        <w:r>
          <w:rPr>
            <w:rStyle w:val="Hyperlink"/>
            <w:rFonts w:ascii="Times New Roman" w:hAnsi="Times New Roman"/>
            <w:b w:val="false"/>
            <w:i w:val="false"/>
            <w:color w:val="000000"/>
            <w:sz w:val="22"/>
          </w:rPr>
          <w:t>22.10(1)</w:t>
        </w:r>
      </w:hyperlink>
      <w:r>
        <w:rPr>
          <w:rFonts w:ascii="Times New Roman" w:hAnsi="Times New Roman"/>
          <w:b w:val="false"/>
          <w:i w:val="false"/>
          <w:color w:val="000000"/>
          <w:sz w:val="22"/>
        </w:rPr>
        <w:t xml:space="preserve">. This rule does not apply to equipment located at grain processing plants or grain storage elevators, as “grain processing” and “grain storage elevator” are defined in </w:t>
      </w:r>
      <w:hyperlink r:id="rId161">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Compliance with the requirements of this rule does not alleviate any affected person’s duty to comply with any applicable state or federal regulations. In particular, the emission standards set forth in </w:t>
      </w:r>
      <w:hyperlink r:id="rId162">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xml:space="preserve">, including the regulations for grain elevators contained in 40 CFR Part 60, Subpart DD (as adopted by reference in </w:t>
      </w:r>
      <w:hyperlink r:id="rId163">
        <w:r>
          <w:rPr>
            <w:rStyle w:val="Hyperlink"/>
            <w:rFonts w:ascii="Times New Roman" w:hAnsi="Times New Roman"/>
            <w:b w:val="false"/>
            <w:i w:val="false"/>
            <w:color w:val="000000"/>
            <w:sz w:val="22"/>
          </w:rPr>
          <w:t>567—paragraph 23.1(2)</w:t>
        </w:r>
      </w:hyperlink>
      <w:r>
        <w:rPr>
          <w:rFonts w:ascii="Times New Roman" w:hAnsi="Times New Roman"/>
          <w:b w:val="false"/>
          <w:i/>
          <w:color w:val="000000"/>
          <w:sz w:val="22"/>
        </w:rPr>
        <w:t>“ooo”</w:t>
      </w:r>
      <w:r>
        <w:rPr>
          <w:rFonts w:ascii="Times New Roman" w:hAnsi="Times New Roman"/>
          <w:b w:val="false"/>
          <w:i w:val="false"/>
          <w:color w:val="000000"/>
          <w:sz w:val="22"/>
        </w:rPr>
        <w:t xml:space="preserve">), may apply. An owner or operator subject to this rule shall submit fees as required in </w:t>
      </w:r>
      <w:hyperlink r:id="rId164">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w:t>
      </w:r>
      <w:hyperlink r:id="rId165">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(455B), the following terms shall have the meanings indicated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“Country grain elevator” </w:t>
      </w:r>
      <w:r>
        <w:rPr>
          <w:rFonts w:ascii="Times New Roman" w:hAnsi="Times New Roman"/>
          <w:b w:val="false"/>
          <w:i w:val="false"/>
          <w:color w:val="000000"/>
          <w:sz w:val="22"/>
        </w:rPr>
        <w:t>means any plant or installation at which grain is unloaded, handled, cleaned, dried, stored, or loaded and that meets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Receives more than 50 percent of its grain, as “grain” is defined in this subrule, from farmers in the immediate vicinity during harvest season;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not located at any wheat flour mill, wet corn mill, dry corn mill (human consumption), rice mill, or soybean oil extraction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“Country grain terminal elevator” </w:t>
      </w:r>
      <w:r>
        <w:rPr>
          <w:rFonts w:ascii="Times New Roman" w:hAnsi="Times New Roman"/>
          <w:b w:val="false"/>
          <w:i w:val="false"/>
          <w:color w:val="000000"/>
          <w:sz w:val="22"/>
        </w:rPr>
        <w:t>means any plant or installation at which grain is unloaded, handled, cleaned, dried, stored, or loaded and that meets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Receives 50 percent or less of its grain, as “grain” is defined in this subrule, from farmers in the immediate vicinity during harvest season;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a permanent storage capacity of less than or equal to 2.5 million U.S. bushels, as “permanent storage capacity” is defined in this subrule;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not located at any wheat flour mill, wet corn mill, dry corn mill (human consumption), rice mill, or soybean oil extraction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“Feed mill equipment,” </w:t>
      </w:r>
      <w:r>
        <w:rPr>
          <w:rFonts w:ascii="Times New Roman" w:hAnsi="Times New Roman"/>
          <w:b w:val="false"/>
          <w:i w:val="false"/>
          <w:color w:val="000000"/>
          <w:sz w:val="22"/>
        </w:rPr>
        <w:t xml:space="preserve">for purposes of </w:t>
      </w:r>
      <w:hyperlink r:id="rId166">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(455B), means grain processing equipment that is used to make animal feed including, but not limited to, grinders, crackers, hammermills, and pellet coolers, and that is located at a country grain elevator, country grain terminal elevator or grain terminal elevator.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“Grain,” </w:t>
      </w:r>
      <w:r>
        <w:rPr>
          <w:rFonts w:ascii="Times New Roman" w:hAnsi="Times New Roman"/>
          <w:b w:val="false"/>
          <w:i w:val="false"/>
          <w:color w:val="000000"/>
          <w:sz w:val="22"/>
        </w:rPr>
        <w:t xml:space="preserve">as set forth in Iowa Code section </w:t>
      </w:r>
      <w:hyperlink r:id="rId167">
        <w:r>
          <w:rPr>
            <w:rStyle w:val="Hyperlink"/>
            <w:rFonts w:ascii="Times New Roman" w:hAnsi="Times New Roman"/>
            <w:b w:val="false"/>
            <w:i w:val="false"/>
            <w:color w:val="000000"/>
            <w:sz w:val="22"/>
          </w:rPr>
          <w:t>203.1(9)</w:t>
        </w:r>
      </w:hyperlink>
      <w:r>
        <w:rPr>
          <w:rFonts w:ascii="Times New Roman" w:hAnsi="Times New Roman"/>
          <w:b w:val="false"/>
          <w:i w:val="false"/>
          <w:color w:val="000000"/>
          <w:sz w:val="22"/>
        </w:rPr>
        <w:t>, means any grain for which the United States Department of Agriculture has established standards including, but not limited to, corn, wheat, oats, soybeans, rye, barley, grain sorghum, flaxseeds, sunflower seed, spelt (emmer), and field peas.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“Grain processing” </w:t>
      </w:r>
      <w:r>
        <w:rPr>
          <w:rFonts w:ascii="Times New Roman" w:hAnsi="Times New Roman"/>
          <w:b w:val="false"/>
          <w:i w:val="false"/>
          <w:color w:val="000000"/>
          <w:sz w:val="22"/>
        </w:rPr>
        <w:t xml:space="preserve">means the same as defined in </w:t>
      </w:r>
      <w:hyperlink r:id="rId168">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“Grain storage elevator” </w:t>
      </w:r>
      <w:r>
        <w:rPr>
          <w:rFonts w:ascii="Times New Roman" w:hAnsi="Times New Roman"/>
          <w:b w:val="false"/>
          <w:i w:val="false"/>
          <w:color w:val="000000"/>
          <w:sz w:val="22"/>
        </w:rPr>
        <w:t xml:space="preserve">means the same as defined in </w:t>
      </w:r>
      <w:hyperlink r:id="rId169">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“Grain terminal elevator,” </w:t>
      </w:r>
      <w:r>
        <w:rPr>
          <w:rFonts w:ascii="Times New Roman" w:hAnsi="Times New Roman"/>
          <w:b w:val="false"/>
          <w:i w:val="false"/>
          <w:color w:val="000000"/>
          <w:sz w:val="22"/>
        </w:rPr>
        <w:t xml:space="preserve">for purposes of </w:t>
      </w:r>
      <w:hyperlink r:id="rId170">
        <w:r>
          <w:rPr>
            <w:rStyle w:val="Hyperlink"/>
            <w:rFonts w:ascii="Times New Roman" w:hAnsi="Times New Roman"/>
            <w:b w:val="false"/>
            <w:i w:val="false"/>
            <w:color w:val="000000"/>
            <w:sz w:val="22"/>
          </w:rPr>
          <w:t>567—22.10</w:t>
        </w:r>
      </w:hyperlink>
      <w:r>
        <w:rPr>
          <w:rFonts w:ascii="Times New Roman" w:hAnsi="Times New Roman"/>
          <w:b w:val="false"/>
          <w:i w:val="false"/>
          <w:color w:val="000000"/>
          <w:sz w:val="22"/>
        </w:rPr>
        <w:t>(455B), means any plant or installation at which grain is unloaded, handled, cleaned, dried, stored, or loaded and that meets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Receives 50 percent or less of its grain, as “grain” is defined in this subrule, from farmers in the immediate vicinity during harvest season;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a permanent storage capacity of more than 88,100 m</w:t>
      </w: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xml:space="preserve"> (2.5 million U.S. bushels), as “permanent storage capacity” is defined in this subrule;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 not located at an animal food manufacturer, pet food manufacturer, cereal manufacturer, brewery, or livestock feedlot;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Is not located at any wheat flour mill, wet corn mill, dry corn mill (human consumption), rice mill, or soybean oil extraction plant.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storage capacity” </w:t>
      </w:r>
      <w:r>
        <w:rPr>
          <w:rFonts w:ascii="Times New Roman" w:hAnsi="Times New Roman"/>
          <w:b w:val="false"/>
          <w:i w:val="false"/>
          <w:color w:val="000000"/>
          <w:sz w:val="22"/>
        </w:rPr>
        <w:t>means grain storage capacity that is inside a building, bin, or silo.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w:t>
      </w:r>
      <w:r>
        <w:rPr>
          <w:rFonts w:ascii="Times New Roman" w:hAnsi="Times New Roman"/>
          <w:b w:val="false"/>
          <w:i w:val="false"/>
          <w:color w:val="000000"/>
          <w:sz w:val="22"/>
        </w:rPr>
        <w:t> </w:t>
      </w:r>
      <w:r>
        <w:rPr>
          <w:rFonts w:ascii="Times New Roman" w:hAnsi="Times New Roman"/>
          <w:b w:val="false"/>
          <w:i/>
          <w:color w:val="000000"/>
          <w:sz w:val="22"/>
        </w:rPr>
        <w:t xml:space="preserve">Methods for determining potential to emit (PTE). </w:t>
      </w:r>
      <w:r>
        <w:rPr>
          <w:rFonts w:ascii="Times New Roman" w:hAnsi="Times New Roman"/>
          <w:b w:val="false"/>
          <w:i w:val="false"/>
          <w:color w:val="000000"/>
          <w:sz w:val="22"/>
        </w:rPr>
        <w:t>The owner or operator of a country grain elevator, country grain terminal elevator, grain terminal elevator or feed mill equipment shall use the following methods for calculating the PTE for particulate matter (PM) and for particulate matter with an aerodynamic diameter less than or equal to 10 microns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Country grain elevators. </w:t>
      </w:r>
      <w:r>
        <w:rPr>
          <w:rFonts w:ascii="Times New Roman" w:hAnsi="Times New Roman"/>
          <w:b w:val="false"/>
          <w:i w:val="false"/>
          <w:color w:val="000000"/>
          <w:sz w:val="22"/>
        </w:rPr>
        <w:t>The owner or operator of a country grain elevator shall calculate the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as specified in the definition of “potential to emit” in </w:t>
      </w:r>
      <w:hyperlink r:id="rId171">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 except that “maximum capacity” means the greatest amount of grain received at the country grain elevator during one calendar, 12-month period of the previous five calendar, 12-month periods, multiplied by an adjustment factor of 1.2. The owner or operator may make additional adjustments to the calculations for air pollution control of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if the owner or operator submits the calculations to the department using the PTE calculation tool provided by the department, and only if the owner or operator fully implements the applicable air pollution control measures no later than March 31, 2009, or upon startup of the equipment, whichever event first occurs. Credit for the application of some best management practices, as specified in </w:t>
      </w:r>
      <w:hyperlink r:id="rId172">
        <w:r>
          <w:rPr>
            <w:rStyle w:val="Hyperlink"/>
            <w:rFonts w:ascii="Times New Roman" w:hAnsi="Times New Roman"/>
            <w:b w:val="false"/>
            <w:i w:val="false"/>
            <w:color w:val="000000"/>
            <w:sz w:val="22"/>
          </w:rPr>
          <w:t>22.10(3)</w:t>
        </w:r>
      </w:hyperlink>
      <w:r>
        <w:rPr>
          <w:rFonts w:ascii="Times New Roman" w:hAnsi="Times New Roman"/>
          <w:b w:val="false"/>
          <w:i w:val="false"/>
          <w:color w:val="000000"/>
          <w:sz w:val="22"/>
        </w:rPr>
        <w:t xml:space="preserve"> or in a permit issued by the department, may also be used to make additional adjustments in the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if the owner or operator submits the calculations to the department using the PTE calculation tool provided by the department, and only if the owner or operator fully implements the applicable best management practices no later than March 31, 2009, or upon startup of the equipment, whichever event first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Country grain terminal elevators. </w:t>
      </w:r>
      <w:r>
        <w:rPr>
          <w:rFonts w:ascii="Times New Roman" w:hAnsi="Times New Roman"/>
          <w:b w:val="false"/>
          <w:i w:val="false"/>
          <w:color w:val="000000"/>
          <w:sz w:val="22"/>
        </w:rPr>
        <w:t>The owner or operator of a country grain terminal elevator shall calculate the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as specified in the definition of “potential to emit” in </w:t>
      </w:r>
      <w:hyperlink r:id="rId173">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Grain terminal elevators. </w:t>
      </w:r>
      <w:r>
        <w:rPr>
          <w:rFonts w:ascii="Times New Roman" w:hAnsi="Times New Roman"/>
          <w:b w:val="false"/>
          <w:i w:val="false"/>
          <w:color w:val="000000"/>
          <w:sz w:val="22"/>
        </w:rPr>
        <w:t xml:space="preserve">For purposes of the permitting and other requirements specified in </w:t>
      </w:r>
      <w:hyperlink r:id="rId174">
        <w:r>
          <w:rPr>
            <w:rStyle w:val="Hyperlink"/>
            <w:rFonts w:ascii="Times New Roman" w:hAnsi="Times New Roman"/>
            <w:b w:val="false"/>
            <w:i w:val="false"/>
            <w:color w:val="000000"/>
            <w:sz w:val="22"/>
          </w:rPr>
          <w:t>22.10(3)</w:t>
        </w:r>
      </w:hyperlink>
      <w:r>
        <w:rPr>
          <w:rFonts w:ascii="Times New Roman" w:hAnsi="Times New Roman"/>
          <w:b w:val="false"/>
          <w:i w:val="false"/>
          <w:color w:val="000000"/>
          <w:sz w:val="22"/>
        </w:rPr>
        <w:t>, the owner or operator of a grain terminal elevator shall calculate the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as specified in the definition of “potential to emit” in </w:t>
      </w:r>
      <w:hyperlink r:id="rId175">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For purposes of determining whether the stationary source is subject to the PSD requirements set forth in </w:t>
      </w:r>
      <w:hyperlink r:id="rId176">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or for determining whether the source is subject to the operating permit requirements set forth in </w:t>
      </w:r>
      <w:hyperlink r:id="rId177">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178">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the owner or operator of a grain terminal elevator shall include fugitive emissions, as “fugitive emissions” is defined in </w:t>
      </w:r>
      <w:hyperlink r:id="rId179">
        <w:r>
          <w:rPr>
            <w:rStyle w:val="Hyperlink"/>
            <w:rFonts w:ascii="Times New Roman" w:hAnsi="Times New Roman"/>
            <w:b w:val="false"/>
            <w:i w:val="false"/>
            <w:color w:val="000000"/>
            <w:sz w:val="22"/>
          </w:rPr>
          <w:t>567—subrule 33.3(1)</w:t>
        </w:r>
      </w:hyperlink>
      <w:r>
        <w:rPr>
          <w:rFonts w:ascii="Times New Roman" w:hAnsi="Times New Roman"/>
          <w:b w:val="false"/>
          <w:i w:val="false"/>
          <w:color w:val="000000"/>
          <w:sz w:val="22"/>
        </w:rPr>
        <w:t xml:space="preserve"> and in </w:t>
      </w:r>
      <w:hyperlink r:id="rId180">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(455B), in the PTE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Feed mill equipment. </w:t>
      </w:r>
      <w:r>
        <w:rPr>
          <w:rFonts w:ascii="Times New Roman" w:hAnsi="Times New Roman"/>
          <w:b w:val="false"/>
          <w:i w:val="false"/>
          <w:color w:val="000000"/>
          <w:sz w:val="22"/>
        </w:rPr>
        <w:t xml:space="preserve">The owner or operator of feed mill equipment, as “feed mill equipment” is defined in </w:t>
      </w:r>
      <w:hyperlink r:id="rId181">
        <w:r>
          <w:rPr>
            <w:rStyle w:val="Hyperlink"/>
            <w:rFonts w:ascii="Times New Roman" w:hAnsi="Times New Roman"/>
            <w:b w:val="false"/>
            <w:i w:val="false"/>
            <w:color w:val="000000"/>
            <w:sz w:val="22"/>
          </w:rPr>
          <w:t>22.10(1)</w:t>
        </w:r>
      </w:hyperlink>
      <w:r>
        <w:rPr>
          <w:rFonts w:ascii="Times New Roman" w:hAnsi="Times New Roman"/>
          <w:b w:val="false"/>
          <w:i w:val="false"/>
          <w:color w:val="000000"/>
          <w:sz w:val="22"/>
        </w:rPr>
        <w:t>, shall calculate the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for the feed mill equipment as specified in the definition of “potential to emit” in </w:t>
      </w:r>
      <w:hyperlink r:id="rId182">
        <w:r>
          <w:rPr>
            <w:rStyle w:val="Hyperlink"/>
            <w:rFonts w:ascii="Times New Roman" w:hAnsi="Times New Roman"/>
            <w:b w:val="false"/>
            <w:i w:val="false"/>
            <w:color w:val="000000"/>
            <w:sz w:val="22"/>
          </w:rPr>
          <w:t>567—22.1</w:t>
        </w:r>
      </w:hyperlink>
      <w:r>
        <w:rPr>
          <w:rFonts w:ascii="Times New Roman" w:hAnsi="Times New Roman"/>
          <w:b w:val="false"/>
          <w:i w:val="false"/>
          <w:color w:val="000000"/>
          <w:sz w:val="22"/>
        </w:rPr>
        <w:t xml:space="preserve">(455B). For purposes of determining whether the stationary source is subject to the PSD requirements set forth in </w:t>
      </w:r>
      <w:hyperlink r:id="rId183">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or for determining whether the stationary source is subject to the operating permit requirements set forth in </w:t>
      </w:r>
      <w:hyperlink r:id="rId184">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185">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(455B), the owner or operator of feed mill equipment shall sum the PTE of the feed mill equipment with the PTE of the country grain elevator, country grain terminal elevator or grain terminal elevator.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22.10(3)</w:t>
      </w:r>
      <w:r>
        <w:rPr>
          <w:rFonts w:ascii="Times New Roman" w:hAnsi="Times New Roman"/>
          <w:b w:val="false"/>
          <w:i w:val="false"/>
          <w:color w:val="000000"/>
          <w:sz w:val="22"/>
        </w:rPr>
        <w:t> </w:t>
      </w:r>
      <w:r>
        <w:rPr>
          <w:rFonts w:ascii="Times New Roman" w:hAnsi="Times New Roman"/>
          <w:b w:val="false"/>
          <w:i/>
          <w:color w:val="000000"/>
          <w:sz w:val="22"/>
        </w:rPr>
        <w:t xml:space="preserve">Classification and requirements for permits, emissions controls, recordkeeping and reporting for Group 1, Group 2, Group 3 and Group 4 grain elevators. </w:t>
      </w:r>
      <w:r>
        <w:rPr>
          <w:rFonts w:ascii="Times New Roman" w:hAnsi="Times New Roman"/>
          <w:b w:val="false"/>
          <w:i w:val="false"/>
          <w:color w:val="000000"/>
          <w:sz w:val="22"/>
        </w:rPr>
        <w:t>The requirements for construction permits, operating permits, emissions controls, recordkeeping and reporting for a stationary source that is a country grain elevator, country grain terminal elevator or grain terminal elevator are set forth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Group 1 facilities. </w:t>
      </w:r>
      <w:r>
        <w:rPr>
          <w:rFonts w:ascii="Times New Roman" w:hAnsi="Times New Roman"/>
          <w:b w:val="false"/>
          <w:i w:val="false"/>
          <w:color w:val="000000"/>
          <w:sz w:val="22"/>
        </w:rPr>
        <w:t>A country grain elevator, country grain terminal elevator or grain terminal elevator may qualify as a Group 1 facility if the PTE at the stationary source is less than 15 tons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per year, as PTE is specified in </w:t>
      </w:r>
      <w:hyperlink r:id="rId186">
        <w:r>
          <w:rPr>
            <w:rStyle w:val="Hyperlink"/>
            <w:rFonts w:ascii="Times New Roman" w:hAnsi="Times New Roman"/>
            <w:b w:val="false"/>
            <w:i w:val="false"/>
            <w:color w:val="000000"/>
            <w:sz w:val="22"/>
          </w:rPr>
          <w:t>22.10(2)</w:t>
        </w:r>
      </w:hyperlink>
      <w:r>
        <w:rPr>
          <w:rFonts w:ascii="Times New Roman" w:hAnsi="Times New Roman"/>
          <w:b w:val="false"/>
          <w:i w:val="false"/>
          <w:color w:val="000000"/>
          <w:sz w:val="22"/>
        </w:rPr>
        <w:t>. For purposes of this paragraph, an “existing” Group 1 facility is one that commenced construction or reconstruction before February 6, 2008. A “new” Group 1 facility is one that commenced construction or reconstruction on or after February 6,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Group 1 registration. The owner or operator of a Group 1 facility shall submit to the department a Group 1 registration, including PTE calculations, on forms provided by the department, certifying that the facility’s PTE is less than 15 tons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per year. The owner or operator of an existing facility shall provide the Group 1 registration to the department on or before March 31, 2008. The owner or operator of a new facility shall provide the Group 1 registration to the department prior to initiating construction or reconstruction of a facility. The registration becomes effective upon the department’s receipt of the signed registration form and the PTE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or operator registers with the department as specified in </w:t>
      </w:r>
      <w:hyperlink r:id="rId187">
        <w:r>
          <w:rPr>
            <w:rStyle w:val="Hyperlink"/>
            <w:rFonts w:ascii="Times New Roman" w:hAnsi="Times New Roman"/>
            <w:b w:val="false"/>
            <w:i w:val="false"/>
            <w:color w:val="000000"/>
            <w:sz w:val="22"/>
          </w:rPr>
          <w:t>22.10(3)</w:t>
        </w:r>
      </w:hyperlink>
      <w:r>
        <w:rPr>
          <w:rFonts w:ascii="Times New Roman" w:hAnsi="Times New Roman"/>
          <w:b w:val="false"/>
          <w:i/>
          <w:color w:val="000000"/>
          <w:sz w:val="22"/>
        </w:rPr>
        <w:t>“a”</w:t>
      </w:r>
      <w:r>
        <w:rPr>
          <w:rFonts w:ascii="Times New Roman" w:hAnsi="Times New Roman"/>
          <w:b w:val="false"/>
          <w:i w:val="false"/>
          <w:color w:val="000000"/>
          <w:sz w:val="22"/>
        </w:rPr>
        <w:t xml:space="preserve">(1), the owner or operator is exempt from the requirement to obtain a construction permit as specified under </w:t>
      </w:r>
      <w:hyperlink r:id="rId18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department receipt of a Group 1 registration and PTE calculations, the owner or operator is allowed to add, remove and modify the emissions units or change throughput or operations at the facility without modifying the Group 1 registration, provided that the owner or operator calculates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on forms provided by the department prior to making any additions to, removals of or modifications to equipment, and only if the facility continues to meet the emissions limits and operating limits (including restrictions on material throughput and hours of operation, if applicable, as specified in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calculations) specified in the Group 1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equipment at a Group 1 facility currently has an air construction permit issued by the department, that permit shall remain in full force and effect, and the permit shall not be invalidated by the subsequent submittal of a registration made pursuant to </w:t>
      </w:r>
      <w:hyperlink r:id="rId189">
        <w:r>
          <w:rPr>
            <w:rStyle w:val="Hyperlink"/>
            <w:rFonts w:ascii="Times New Roman" w:hAnsi="Times New Roman"/>
            <w:b w:val="false"/>
            <w:i w:val="false"/>
            <w:color w:val="000000"/>
            <w:sz w:val="22"/>
          </w:rPr>
          <w:t>22.10(3)</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Best management practices (BMP). The owner or operator of a Group 1 facility shall implement BMP for controlling air pollution at the facility and for limiting fugitive dust at the facility from crossing the property line. The owner or operator shall implement BMP according to the department manual, Best Management Practices (BMP) for Grain Elevators (December 2007; revised July 15, 2014), as adopted by the commission on January 15, 2008, and July 15, 2014, and adopted by reference herein (available from the department, upon request, and on the department’s Internet website). No later than March 31, 2009, the owner or operator of an existing Group 1 facility shall fully implement applicable BMP, except that BMPs for grain vacuuming operations shall be fully implemented no later than September 10, 2014. Upon startup of equipment at the facility, the owner or operator of a new Group 1 facility shall fully implement applicable BMP.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Recordkeeping. The owner or operator of a Group 1 facility shall retain a record of the previous five calendar years of total annual grain handled and shall calculate the facility’s potential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emissions annually by January 31 for the previous calendar year. These records shall be kept on site for a period of five years and shall be made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Emissions increases. The owner or operator of a Group 1 facility shall calculate any emissions increases prior to making any additions to, removals of or modifications to equipment. If the owner or operator determines that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emissions at a Group 1 facility will increase to 15 tons per year or more, the owner or operator shall comply with the requirements set forth for Group 2, Group 3 or Group 4 facilities, as applicable, prior to making any additions to, removals of or modifications to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Changes to facility classification or permanent grain storage capacity. If the owner or operator of a Group 1 facility plans to change the facility’s operations or increase the facility’s permanent grain storage capacity to more than 2.5 million U.S. bushels, the owner or operator, prior to making any changes, shall reevaluate the facility’s classification and the allowed method for calculating PTE to determine if any increases to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will occur. If the proposed change will alter the facility’s classification or will increase the facility’s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such that the facility PTE increases to 15 tons per year or more, the owner or operator shall comply with the requirements set forth for Group 2, Group 3 or Group 4 facilities, as applicable, prior to making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Group 2 facilities. </w:t>
      </w:r>
      <w:r>
        <w:rPr>
          <w:rFonts w:ascii="Times New Roman" w:hAnsi="Times New Roman"/>
          <w:b w:val="false"/>
          <w:i w:val="false"/>
          <w:color w:val="000000"/>
          <w:sz w:val="22"/>
        </w:rPr>
        <w:t xml:space="preserve">A country grain elevator, country grain terminal elevator or grain terminal elevator may qualify as a Group 2 facility if the PTE at the stationary source is greater than or equal to 15 tons of PM10 per year and is less than or equal to 50 tons of PM10 per year, as PTE is specified in </w:t>
      </w:r>
      <w:hyperlink r:id="rId190">
        <w:r>
          <w:rPr>
            <w:rStyle w:val="Hyperlink"/>
            <w:rFonts w:ascii="Times New Roman" w:hAnsi="Times New Roman"/>
            <w:b w:val="false"/>
            <w:i w:val="false"/>
            <w:color w:val="000000"/>
            <w:sz w:val="22"/>
          </w:rPr>
          <w:t>22.10(2)</w:t>
        </w:r>
      </w:hyperlink>
      <w:r>
        <w:rPr>
          <w:rFonts w:ascii="Times New Roman" w:hAnsi="Times New Roman"/>
          <w:b w:val="false"/>
          <w:i w:val="false"/>
          <w:color w:val="000000"/>
          <w:sz w:val="22"/>
        </w:rPr>
        <w:t>. For purposes of this paragraph, an “existing” Group 2 facility is one that commenced construction, modification or reconstruction before February 6, 2008. A “new” Group 2 facility is one that commenced construction or reconstruction on or after February 6,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Group 2 permit for grain elevators. The owner or operator of a Group 2 facility may, in lieu of obtaining air construction permits for each piece of emissions equipment at the facility, submit to the department a completed Group 2 permit application for grain elevators, including PTE calculations, on forms provided by the department. Alternatively, the owner or operator may obtain an air construction permit as specified under </w:t>
      </w:r>
      <w:hyperlink r:id="rId191">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The owner or operator of an existing facility shall provide the appropriate completed Group 2 permit application for grain elevators or the appropriate construction permit applications to the department on or before March 31, 2008. The owner or operator of a new facility shall provide the appropriate, completed Group 2 permit application for grain elevators or the appropriate construction permit applications to the department prior to initiating construction or reconstruction of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department issuance of a Group 2 permit to a facility, the owner or operator is allowed to add, remove and modify the emissions units at the facility, or change throughput or operations, without modifying the Group 2 permit, provided that the owner or operator calculates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prior to making any additions to, removals of or modifications to equipment, and only if the facility continues to meet the emissions limits and operating limits (including restrictions on material throughput and hours of operation, if applicable, as specified in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calculations) specified in the Group 2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Group 2 facility currently has an air construction permit issued by the department, that permit shall remain in full force and effect, and the permit shall not be invalidated by the subsequent submittal of a Group 2 permit application for grain elevators made pursuant to this rule. However, the owner or operator of a Group 2 facility may request that the department incorporate any equipment with a previously issued construction permit into the Group 2 permit for grain elevators. The department will grant such requests on a case-by-case basis. If the department grants the request to incorporate previously permitted equipment into the Group 2 permit for grain elevators, the owner or operator of the Group 2 facility is responsible for requesting that the department rescind any previously issued construction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BMP. The owner or operator shall implement BMP, as specified in the Group 2 permit, for controlling air pollution at the source and for limiting fugitive dust at the source from crossing the property line. If the department revises the BMP requirements for Group 2 facilities after a facility is issued a Group 2 permit, the owner or operator of the Group 2 facility may request that the department modify the facility’s Group 2 permit to incorporate the revised BMP requirements. The department will issue permit modifications to incorporate BMP revisions on a case-by-case basis. No later than March 31, 2009, the owner or operator of an existing Group 2 facility shall fully implement BMP, as specified in the Group 2 permit. Upon startup of equipment at the facility, the owner or operator of a new Group 2 facility shall fully implement BMP, as specified in the Group 2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Recordkeeping. The owner or operator of a Group 2 facility shall retain all records as specified in the Group 2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Emissions inventory. The owner or operator of a Group 2 facility shall submit an emissions inventory for the facility for all regulated air pollutants as specified under </w:t>
      </w:r>
      <w:hyperlink r:id="rId192">
        <w:r>
          <w:rPr>
            <w:rStyle w:val="Hyperlink"/>
            <w:rFonts w:ascii="Times New Roman" w:hAnsi="Times New Roman"/>
            <w:b w:val="false"/>
            <w:i w:val="false"/>
            <w:color w:val="000000"/>
            <w:sz w:val="22"/>
          </w:rPr>
          <w:t>567—subrule 21.1(3)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Emissions increases. The owner or operator of a Group 2 facility shall calculate any emissions increases prior to making any additions to, removals of or modifications to equipment. If the owner or operator determines that potential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emissions at a Group 2 facility will increase to more than 50 tons per year, the owner or operator shall comply with the requirements set forth for Group 3 or Group 4 facilities, as applicable, prior to making any additions to, removals of or modifications to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Changes to facility classification or permanent grain storage capacity. If the owner or operator of a Group 2 facility plans to change the facility’s operations or increase the facility’s permanent grain storage capacity to more than 2.5 million U.S. bushels, the owner or operator, prior to making any changes, shall reevaluate the facility’s classification and the allowed method for calculating PTE to determine if any increases to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will occur. If the proposed change will increase the facility’s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such that the facility PTE increases to more than 50 tons per year, the owner or operator shall comply with the requirements set forth for Group 3 or Group 4 facilities, as applicable, prior to making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Group 3 facilities. </w:t>
      </w:r>
      <w:r>
        <w:rPr>
          <w:rFonts w:ascii="Times New Roman" w:hAnsi="Times New Roman"/>
          <w:b w:val="false"/>
          <w:i w:val="false"/>
          <w:color w:val="000000"/>
          <w:sz w:val="22"/>
        </w:rPr>
        <w:t>A country grain elevator, country grain terminal elevator or grain terminal elevator may qualify as a Group 3 facility if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at the stationary source is greater than 50 tons per year, but is less than 100 tons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per year, as PTE is specified in </w:t>
      </w:r>
      <w:hyperlink r:id="rId193">
        <w:r>
          <w:rPr>
            <w:rStyle w:val="Hyperlink"/>
            <w:rFonts w:ascii="Times New Roman" w:hAnsi="Times New Roman"/>
            <w:b w:val="false"/>
            <w:i w:val="false"/>
            <w:color w:val="000000"/>
            <w:sz w:val="22"/>
          </w:rPr>
          <w:t>22.10(2)</w:t>
        </w:r>
      </w:hyperlink>
      <w:r>
        <w:rPr>
          <w:rFonts w:ascii="Times New Roman" w:hAnsi="Times New Roman"/>
          <w:b w:val="false"/>
          <w:i w:val="false"/>
          <w:color w:val="000000"/>
          <w:sz w:val="22"/>
        </w:rPr>
        <w:t>. For purposes of this paragraph, an “existing” Group 3 facility is one that commenced construction, modification or reconstruction before February 6, 2008. A “new” Group 3 facility is one that commenced construction or reconstruction on or after February 6,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Air construction permit. The owner or operator of a Group 3 facility shall obtain the required construction permits as specified under </w:t>
      </w:r>
      <w:hyperlink r:id="rId194">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The owner or operator of an existing facility shall provide the construction permit applications, as specified in </w:t>
      </w:r>
      <w:hyperlink r:id="rId195">
        <w:r>
          <w:rPr>
            <w:rStyle w:val="Hyperlink"/>
            <w:rFonts w:ascii="Times New Roman" w:hAnsi="Times New Roman"/>
            <w:b w:val="false"/>
            <w:i w:val="false"/>
            <w:color w:val="000000"/>
            <w:sz w:val="22"/>
          </w:rPr>
          <w:t>22.1(3)</w:t>
        </w:r>
      </w:hyperlink>
      <w:r>
        <w:rPr>
          <w:rFonts w:ascii="Times New Roman" w:hAnsi="Times New Roman"/>
          <w:b w:val="false"/>
          <w:i w:val="false"/>
          <w:color w:val="000000"/>
          <w:sz w:val="22"/>
        </w:rPr>
        <w:t xml:space="preserve">, to the department on or before March 31, 2008. The owner or operator of a new facility shall obtain the required permits, as specified in </w:t>
      </w:r>
      <w:hyperlink r:id="rId196">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from the department prior to initiating construction or reconstruction of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 conditions. Construction permit conditions for a Group 3 facility shall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implement BMP, as specified in the permit, for controlling air pollution at the source and for limiting fugitive dust at the source from crossing the property line. If the department revises the BMP requirements for Group 3 facilities after a facility is issued a permit, the owner or operator of the Group 3 facility may request that the department modify the facility’s permit to incorporate the revised BMP requirements. The department will issue permit modifications to incorporate BMP revisions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retain all records as specified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Emissions inventory. The owner or operator shall submit an emissions inventory for the facility for all regulated air pollutants as specified under </w:t>
      </w:r>
      <w:hyperlink r:id="rId197">
        <w:r>
          <w:rPr>
            <w:rStyle w:val="Hyperlink"/>
            <w:rFonts w:ascii="Times New Roman" w:hAnsi="Times New Roman"/>
            <w:b w:val="false"/>
            <w:i w:val="false"/>
            <w:color w:val="000000"/>
            <w:sz w:val="22"/>
          </w:rPr>
          <w:t>567—subrule 21.1(3)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Changes to facility classification or permanent grain storage capacity. If the owner or operator of a Group 3 facility plans to change its operations or increase the facility’s permanent grain storage capacity to more than 2.5 million U.S. bushels, the owner or operator, prior to making any changes, shall reevaluate the facility’s classification and the allowed method for calculating PTE to determine if any increases to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will occur. If the proposed change will alter the facility’s classification or will increase the facility’s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such that the facility PTE increases to greater than or equal to 100 tons per year, the owner or operator shall comply with the requirements set forth for Group 4 facilities, as applicable, prior to making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PSD applicability. If the PTE for PM 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at the Group 3 facility is greater than or equal to 250 tons per year, the owner or operator shall comply with requirements specified in </w:t>
      </w:r>
      <w:hyperlink r:id="rId198">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as applicable. The owner or operator of a Group 3 facility that is a grain terminal elevator shall include fugitive emissions, as “fugitive emissions” is defined in </w:t>
      </w:r>
      <w:hyperlink r:id="rId199">
        <w:r>
          <w:rPr>
            <w:rStyle w:val="Hyperlink"/>
            <w:rFonts w:ascii="Times New Roman" w:hAnsi="Times New Roman"/>
            <w:b w:val="false"/>
            <w:i w:val="false"/>
            <w:color w:val="000000"/>
            <w:sz w:val="22"/>
          </w:rPr>
          <w:t>567—subrule 33.3(1)</w:t>
        </w:r>
      </w:hyperlink>
      <w:r>
        <w:rPr>
          <w:rFonts w:ascii="Times New Roman" w:hAnsi="Times New Roman"/>
          <w:b w:val="false"/>
          <w:i w:val="false"/>
          <w:color w:val="000000"/>
          <w:sz w:val="22"/>
        </w:rPr>
        <w:t>, in the PTE calculation for determining PSD applicability.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Recordkeeping. The owner or operator shall keep the records of annual grain handled at the facility and annual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emissions on site for a period of five years, and the records shall be made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Group 4 facilities. </w:t>
      </w:r>
      <w:r>
        <w:rPr>
          <w:rFonts w:ascii="Times New Roman" w:hAnsi="Times New Roman"/>
          <w:b w:val="false"/>
          <w:i w:val="false"/>
          <w:color w:val="000000"/>
          <w:sz w:val="22"/>
        </w:rPr>
        <w:t>A facility qualifies as a Group 4 facility if the facility is a stationary source with a PTE equal to or greater than 100 tons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per year, as PTE is specified in </w:t>
      </w:r>
      <w:hyperlink r:id="rId200">
        <w:r>
          <w:rPr>
            <w:rStyle w:val="Hyperlink"/>
            <w:rFonts w:ascii="Times New Roman" w:hAnsi="Times New Roman"/>
            <w:b w:val="false"/>
            <w:i w:val="false"/>
            <w:color w:val="000000"/>
            <w:sz w:val="22"/>
          </w:rPr>
          <w:t>22.10(2)</w:t>
        </w:r>
      </w:hyperlink>
      <w:r>
        <w:rPr>
          <w:rFonts w:ascii="Times New Roman" w:hAnsi="Times New Roman"/>
          <w:b w:val="false"/>
          <w:i w:val="false"/>
          <w:color w:val="000000"/>
          <w:sz w:val="22"/>
        </w:rPr>
        <w:t>. For purposes of this paragraph, an “existing” Group 4 facility is one that commenced construction, modification or reconstruction before February 6, 2008. A “new” Group 4 facility is one that commenced construction or reconstruction on or after February 6,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Air construction permit. The owner or operator of a Group 4 facility shall obtain the required construction permits as specified under </w:t>
      </w:r>
      <w:hyperlink r:id="rId201">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The owner or operator of an existing facility shall provide the construction permit applications, as specified by </w:t>
      </w:r>
      <w:hyperlink r:id="rId202">
        <w:r>
          <w:rPr>
            <w:rStyle w:val="Hyperlink"/>
            <w:rFonts w:ascii="Times New Roman" w:hAnsi="Times New Roman"/>
            <w:b w:val="false"/>
            <w:i w:val="false"/>
            <w:color w:val="000000"/>
            <w:sz w:val="22"/>
          </w:rPr>
          <w:t>22.1(3)</w:t>
        </w:r>
      </w:hyperlink>
      <w:r>
        <w:rPr>
          <w:rFonts w:ascii="Times New Roman" w:hAnsi="Times New Roman"/>
          <w:b w:val="false"/>
          <w:i w:val="false"/>
          <w:color w:val="000000"/>
          <w:sz w:val="22"/>
        </w:rPr>
        <w:t xml:space="preserve">, to the department on or before March 31, 2008. The owner or operator of a new facility shall obtain the required permits, as specified by </w:t>
      </w:r>
      <w:hyperlink r:id="rId203">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from the department prior to initiating construction or reconstruction of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 conditions. Construction permit conditions for a Group 4 facility shall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implement BMP, as specified in the permit, for controlling air pollution at the facility and for limiting fugitive dust at the facility from crossing the property line. If the department revises the BMP requirements for Group 4 facilities after a facility is issued a permit, the owner or operator of the Group 4 facility may request that the department modify the facility’s permit to incorporate the revised BMP requirements. The department will issue permit modifications to incorporate BMP revisions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retain all records as specified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PSD applicability. If the PTE for PM 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at the facility is equal to or greater than 250 tons per year, the owner or operator shall comply with requirements specified in </w:t>
      </w:r>
      <w:hyperlink r:id="rId204">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xml:space="preserve">, as applicable. The owner or operator of a Group 4 facility that is a grain terminal elevator shall include fugitive emissions, as “fugitive emissions” is defined in </w:t>
      </w:r>
      <w:hyperlink r:id="rId205">
        <w:r>
          <w:rPr>
            <w:rStyle w:val="Hyperlink"/>
            <w:rFonts w:ascii="Times New Roman" w:hAnsi="Times New Roman"/>
            <w:b w:val="false"/>
            <w:i w:val="false"/>
            <w:color w:val="000000"/>
            <w:sz w:val="22"/>
          </w:rPr>
          <w:t>567—subrule 33.3(1)</w:t>
        </w:r>
      </w:hyperlink>
      <w:r>
        <w:rPr>
          <w:rFonts w:ascii="Times New Roman" w:hAnsi="Times New Roman"/>
          <w:b w:val="false"/>
          <w:i w:val="false"/>
          <w:color w:val="000000"/>
          <w:sz w:val="22"/>
        </w:rPr>
        <w:t>, in the PTE calculation for determining PSD applicability.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Recordkeeping. The owner or operator shall keep the records of annual grain handled at the facility and annual PTE for PM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emissions on site for a period of five years, and the records shall be made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Operating permits. The owner or operator of a Group 4 facility shall apply for an operating permit for the facility if the facility’s annual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is equal to or greater than 100 tons per year as specified in </w:t>
      </w:r>
      <w:hyperlink r:id="rId206">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207">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(455B). The owner or operator of a Group 4 facility that is a grain terminal elevator shall include fugitive emissions in the calculations to determine if the PTE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is greater than or equal to 100 tons per year. The owner or operator also shall submit annual emissions inventories and fees, as specified in </w:t>
      </w:r>
      <w:hyperlink r:id="rId208">
        <w:r>
          <w:rPr>
            <w:rStyle w:val="Hyperlink"/>
            <w:rFonts w:ascii="Times New Roman" w:hAnsi="Times New Roman"/>
            <w:b w:val="false"/>
            <w:i w:val="false"/>
            <w:color w:val="000000"/>
            <w:sz w:val="22"/>
          </w:rPr>
          <w:t>567—22.106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22.10(4)</w:t>
      </w:r>
      <w:r>
        <w:rPr>
          <w:rFonts w:ascii="Times New Roman" w:hAnsi="Times New Roman"/>
          <w:b w:val="false"/>
          <w:i w:val="false"/>
          <w:color w:val="000000"/>
          <w:sz w:val="22"/>
        </w:rPr>
        <w:t> </w:t>
      </w:r>
      <w:r>
        <w:rPr>
          <w:rFonts w:ascii="Times New Roman" w:hAnsi="Times New Roman"/>
          <w:b w:val="false"/>
          <w:i/>
          <w:color w:val="000000"/>
          <w:sz w:val="22"/>
        </w:rPr>
        <w:t xml:space="preserve">Feed mill equipment. </w:t>
      </w:r>
      <w:r>
        <w:rPr>
          <w:rFonts w:ascii="Times New Roman" w:hAnsi="Times New Roman"/>
          <w:b w:val="false"/>
          <w:i w:val="false"/>
          <w:color w:val="000000"/>
          <w:sz w:val="22"/>
        </w:rPr>
        <w:t xml:space="preserve">This subrule sets forth the requirements for construction permits, operating permits, and emissions inventories for an owner or operator of feed mill equipment as “feed mill equipment” is defined in </w:t>
      </w:r>
      <w:hyperlink r:id="rId209">
        <w:r>
          <w:rPr>
            <w:rStyle w:val="Hyperlink"/>
            <w:rFonts w:ascii="Times New Roman" w:hAnsi="Times New Roman"/>
            <w:b w:val="false"/>
            <w:i w:val="false"/>
            <w:color w:val="000000"/>
            <w:sz w:val="22"/>
          </w:rPr>
          <w:t>22.10(1)</w:t>
        </w:r>
      </w:hyperlink>
      <w:r>
        <w:rPr>
          <w:rFonts w:ascii="Times New Roman" w:hAnsi="Times New Roman"/>
          <w:b w:val="false"/>
          <w:i w:val="false"/>
          <w:color w:val="000000"/>
          <w:sz w:val="22"/>
        </w:rPr>
        <w:t>. For purposes of this subrule, the owner or operator of “existing” feed mill equipment shall have commenced construction or reconstruction of the feed mill equipment before February 6, 2008. The owner or operator of “new” feed mill equipment shall have commenced construction or reconstruction of the feed mill equipment on or after February 6,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Air construction permit. </w:t>
      </w:r>
      <w:r>
        <w:rPr>
          <w:rFonts w:ascii="Times New Roman" w:hAnsi="Times New Roman"/>
          <w:b w:val="false"/>
          <w:i w:val="false"/>
          <w:color w:val="000000"/>
          <w:sz w:val="22"/>
        </w:rPr>
        <w:t xml:space="preserve">The owner or operator of feed mill equipment shall obtain an air construction permit as specified under </w:t>
      </w:r>
      <w:hyperlink r:id="rId210">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for each piece of feed mill equipment that emits a regulated air pollutant. The owner or operator of “existing” feed mill equipment shall provide the appropriate permit applications to the department on or before March 31, 2008. The owner or operator of “new” feed mill equipment shall provide the appropriate permit applications to the department prior to initiating construction or reconstruction of feed mill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Emissions inventory. </w:t>
      </w:r>
      <w:r>
        <w:rPr>
          <w:rFonts w:ascii="Times New Roman" w:hAnsi="Times New Roman"/>
          <w:b w:val="false"/>
          <w:i w:val="false"/>
          <w:color w:val="000000"/>
          <w:sz w:val="22"/>
        </w:rPr>
        <w:t xml:space="preserve">The owner or operator shall submit an emissions inventory for the feed mill equipment for all regulated air pollutants as specified under </w:t>
      </w:r>
      <w:hyperlink r:id="rId211">
        <w:r>
          <w:rPr>
            <w:rStyle w:val="Hyperlink"/>
            <w:rFonts w:ascii="Times New Roman" w:hAnsi="Times New Roman"/>
            <w:b w:val="false"/>
            <w:i w:val="false"/>
            <w:color w:val="000000"/>
            <w:sz w:val="22"/>
          </w:rPr>
          <w:t>567—subrule 21.1(3)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Operating permits. </w:t>
      </w:r>
      <w:r>
        <w:rPr>
          <w:rFonts w:ascii="Times New Roman" w:hAnsi="Times New Roman"/>
          <w:b w:val="false"/>
          <w:i w:val="false"/>
          <w:color w:val="000000"/>
          <w:sz w:val="22"/>
        </w:rPr>
        <w:t xml:space="preserve">The owner or operator shall sum the PTE of the feed mill equipment with the PTE of the equipment at the country grain elevator, country grain terminal elevator or grain terminal elevator, as PTE is specified in </w:t>
      </w:r>
      <w:hyperlink r:id="rId212">
        <w:r>
          <w:rPr>
            <w:rStyle w:val="Hyperlink"/>
            <w:rFonts w:ascii="Times New Roman" w:hAnsi="Times New Roman"/>
            <w:b w:val="false"/>
            <w:i w:val="false"/>
            <w:color w:val="000000"/>
            <w:sz w:val="22"/>
          </w:rPr>
          <w:t>22.10(2)</w:t>
        </w:r>
      </w:hyperlink>
      <w:r>
        <w:rPr>
          <w:rFonts w:ascii="Times New Roman" w:hAnsi="Times New Roman"/>
          <w:b w:val="false"/>
          <w:i w:val="false"/>
          <w:color w:val="000000"/>
          <w:sz w:val="22"/>
        </w:rPr>
        <w:t xml:space="preserve">, to determine if operating permit requirements specified in </w:t>
      </w:r>
      <w:hyperlink r:id="rId213">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214">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apply to the stationary source. If the operating permit requirements apply, then the owner or operator shall apply for an operating permit as specified in </w:t>
      </w:r>
      <w:hyperlink r:id="rId215">
        <w:r>
          <w:rPr>
            <w:rStyle w:val="Hyperlink"/>
            <w:rFonts w:ascii="Times New Roman" w:hAnsi="Times New Roman"/>
            <w:b w:val="false"/>
            <w:i w:val="false"/>
            <w:color w:val="000000"/>
            <w:sz w:val="22"/>
          </w:rPr>
          <w:t>567—24.100</w:t>
        </w:r>
      </w:hyperlink>
      <w:r>
        <w:rPr>
          <w:rFonts w:ascii="Times New Roman" w:hAnsi="Times New Roman"/>
          <w:b w:val="false"/>
          <w:i w:val="false"/>
          <w:color w:val="000000"/>
          <w:sz w:val="22"/>
        </w:rPr>
        <w:t xml:space="preserve">(455B) through </w:t>
      </w:r>
      <w:hyperlink r:id="rId216">
        <w:r>
          <w:rPr>
            <w:rStyle w:val="Hyperlink"/>
            <w:rFonts w:ascii="Times New Roman" w:hAnsi="Times New Roman"/>
            <w:b w:val="false"/>
            <w:i w:val="false"/>
            <w:color w:val="000000"/>
            <w:sz w:val="22"/>
          </w:rPr>
          <w:t>567—24.300</w:t>
        </w:r>
      </w:hyperlink>
      <w:r>
        <w:rPr>
          <w:rFonts w:ascii="Times New Roman" w:hAnsi="Times New Roman"/>
          <w:b w:val="false"/>
          <w:i w:val="false"/>
          <w:color w:val="000000"/>
          <w:sz w:val="22"/>
        </w:rPr>
        <w:t xml:space="preserve">(455B). The owner or operator also shall begin submitting annual emissions inventories and fees, as specified under </w:t>
      </w:r>
      <w:hyperlink r:id="rId217">
        <w:r>
          <w:rPr>
            <w:rStyle w:val="Hyperlink"/>
            <w:rFonts w:ascii="Times New Roman" w:hAnsi="Times New Roman"/>
            <w:b w:val="false"/>
            <w:i w:val="false"/>
            <w:color w:val="000000"/>
            <w:sz w:val="22"/>
          </w:rPr>
          <w:t>567—22.106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PSD applicability. </w:t>
      </w:r>
      <w:r>
        <w:rPr>
          <w:rFonts w:ascii="Times New Roman" w:hAnsi="Times New Roman"/>
          <w:b w:val="false"/>
          <w:i w:val="false"/>
          <w:color w:val="000000"/>
          <w:sz w:val="22"/>
        </w:rPr>
        <w:t xml:space="preserve">For purposes of determining whether the stationary source is subject to the PSD requirements set forth in </w:t>
      </w:r>
      <w:hyperlink r:id="rId218">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the owner or operator shall sum the PTE of the feed mill equipment with the PTE of the equipment at the country grain elevator, country grain terminal elevator or grain terminal elevator. If the PTE for PM 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for the stationary source is equal to or greater than 250 tons per year, the owner or operator shall comply with requirements for PSD specified in </w:t>
      </w:r>
      <w:hyperlink r:id="rId219">
        <w:r>
          <w:rPr>
            <w:rStyle w:val="Hyperlink"/>
            <w:rFonts w:ascii="Times New Roman" w:hAnsi="Times New Roman"/>
            <w:b w:val="false"/>
            <w:i w:val="false"/>
            <w:color w:val="000000"/>
            <w:sz w:val="22"/>
          </w:rPr>
          <w:t>567—Chapter 33</w:t>
        </w:r>
      </w:hyperlink>
      <w:r>
        <w:rPr>
          <w:rFonts w:ascii="Times New Roman" w:hAnsi="Times New Roman"/>
          <w:b w:val="false"/>
          <w:i w:val="false"/>
          <w:color w:val="000000"/>
          <w:sz w:val="22"/>
        </w:rPr>
        <w:t>,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567—22.11</w:t>
      </w:r>
      <w:r>
        <w:rPr>
          <w:rFonts w:ascii="Times New Roman" w:hAnsi="Times New Roman"/>
          <w:b/>
          <w:i w:val="false"/>
          <w:color w:val="000000"/>
          <w:sz w:val="22"/>
        </w:rPr>
        <w:t xml:space="preserve">(455B) </w:t>
      </w:r>
      <w:r>
        <w:rPr>
          <w:rFonts w:ascii="Times New Roman" w:hAnsi="Times New Roman"/>
          <w:b/>
          <w:i w:val="false"/>
          <w:color w:val="000000"/>
          <w:sz w:val="22"/>
        </w:rPr>
        <w:t xml:space="preserve">Ambient air quality standards. </w:t>
      </w:r>
      <w:r>
        <w:rPr>
          <w:rFonts w:ascii="Times New Roman" w:hAnsi="Times New Roman"/>
          <w:b w:val="false"/>
          <w:i w:val="false"/>
          <w:color w:val="000000"/>
          <w:sz w:val="22"/>
        </w:rPr>
        <w:t xml:space="preserve">The state of Iowa ambient air quality standards shall be the National Primary and Secondary Ambient Air Quality Standards as published in 40 CFR Part 50 (1972) and as amended at 38 Federal Register (FR) 22384 (September 14, 1973), 43 FR 46258 (October 5, 1978), 44 FR 8202, 8220 (February 9, 1979), 52 FR 24634-24669 (July 1, 1987), 62 FR 38651-38760, 38855-38896 (July 18, 1997), 71 FR 61144-61233 (October 17, 2006), 73 FR 16436-16514 (March 27, 2008), 73 FR 66964-67062 (November 12, 2008), 75 FR 6474-6537 (February 9, 2010), 75 FR 35520-35603 (June 22, 2010), 78 FR 3086-3287 (January 15, 2013), and 80 FR 65291-65468 (October 26, 2015). The department shall implement these rules in a time frame and schedule consistent with implementation schedules in federal laws and regulations.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7951C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20">
        <w:r>
          <w:rPr>
            <w:rStyle w:val="Hyperlink"/>
            <w:rFonts w:ascii="Times New Roman" w:hAnsi="Times New Roman"/>
            <w:b w:val="false"/>
            <w:i w:val="false"/>
            <w:color w:val="000000"/>
            <w:sz w:val="22"/>
          </w:rPr>
          <w:t>455B.133</w:t>
        </w:r>
      </w:hyperlink>
      <w:r>
        <w:rPr>
          <w:rFonts w:ascii="Times New Roman" w:hAnsi="Times New Roman"/>
          <w:b w:val="false"/>
          <w:i w:val="false"/>
          <w:color w:val="000000"/>
          <w:sz w:val="22"/>
        </w:rPr>
        <w:t xml:space="preserve"> and </w:t>
      </w:r>
      <w:hyperlink r:id="rId221">
        <w:r>
          <w:rPr>
            <w:rStyle w:val="Hyperlink"/>
            <w:rFonts w:ascii="Times New Roman" w:hAnsi="Times New Roman"/>
            <w:b w:val="false"/>
            <w:i w:val="false"/>
            <w:color w:val="000000"/>
            <w:sz w:val="22"/>
          </w:rPr>
          <w:t>455B.134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8/24/70; amended 5/2/72, 12/11/73, 12/17/74]</w:t>
      </w:r>
    </w:p>
    <w:p>
      <w:pPr>
        <w:spacing w:before="0" w:after="0"/>
        <w:ind w:left="120"/>
        <w:jc w:val="center"/>
      </w:pPr>
      <w:r>
        <w:rPr>
          <w:rFonts w:ascii="Times New Roman" w:hAnsi="Times New Roman"/>
          <w:b w:val="false"/>
          <w:i w:val="false"/>
          <w:color w:val="000000"/>
          <w:sz w:val="21"/>
        </w:rPr>
        <w:t>[Filed 3/1/76, Notice 11/3/75—published 3/22/76, effective 4/26/76]</w:t>
      </w:r>
    </w:p>
    <w:p>
      <w:pPr>
        <w:spacing w:before="0" w:after="0"/>
        <w:ind w:left="120"/>
        <w:jc w:val="center"/>
      </w:pPr>
      <w:r>
        <w:rPr>
          <w:rFonts w:ascii="Times New Roman" w:hAnsi="Times New Roman"/>
          <w:b w:val="false"/>
          <w:i w:val="false"/>
          <w:color w:val="000000"/>
          <w:sz w:val="21"/>
        </w:rPr>
        <w:t>[Filed 5/27/77, Notice 3/9/77—published 6/15/77, effective 1/1/78]</w:t>
      </w:r>
    </w:p>
    <w:p>
      <w:pPr>
        <w:spacing w:before="0" w:after="0"/>
        <w:ind w:left="120"/>
        <w:jc w:val="center"/>
      </w:pPr>
      <w:r>
        <w:rPr>
          <w:rFonts w:ascii="Times New Roman" w:hAnsi="Times New Roman"/>
          <w:b w:val="false"/>
          <w:i w:val="false"/>
          <w:color w:val="000000"/>
          <w:sz w:val="21"/>
        </w:rPr>
        <w:t>[Filed without Notice 10/28/77—published 11/16/77, effective 12/21/77]</w:t>
      </w:r>
    </w:p>
    <w:p>
      <w:pPr>
        <w:spacing w:before="0" w:after="0"/>
        <w:ind w:left="120"/>
        <w:jc w:val="center"/>
      </w:pPr>
      <w:r>
        <w:rPr>
          <w:rFonts w:ascii="Times New Roman" w:hAnsi="Times New Roman"/>
          <w:b w:val="false"/>
          <w:i w:val="false"/>
          <w:color w:val="000000"/>
          <w:sz w:val="21"/>
        </w:rPr>
        <w:t>[Filed 4/27/78, Notice 11/16/77—published 5/17/78, effective 6/21/78]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10/12/78—published 11/1/78, effective 10/12/78]</w:t>
      </w:r>
    </w:p>
    <w:p>
      <w:pPr>
        <w:spacing w:before="0" w:after="0"/>
        <w:ind w:left="120"/>
        <w:jc w:val="center"/>
      </w:pPr>
      <w:r>
        <w:rPr>
          <w:rFonts w:ascii="Times New Roman" w:hAnsi="Times New Roman"/>
          <w:b w:val="false"/>
          <w:i w:val="false"/>
          <w:color w:val="000000"/>
          <w:sz w:val="21"/>
        </w:rPr>
        <w:t>[Filed 6/29/79, Notice 2/7/79—published 7/25/79, effective 8/29/79]</w:t>
      </w:r>
    </w:p>
    <w:p>
      <w:pPr>
        <w:spacing w:before="0" w:after="0"/>
        <w:ind w:left="120"/>
        <w:jc w:val="center"/>
      </w:pPr>
      <w:r>
        <w:rPr>
          <w:rFonts w:ascii="Times New Roman" w:hAnsi="Times New Roman"/>
          <w:b w:val="false"/>
          <w:i w:val="false"/>
          <w:color w:val="000000"/>
          <w:sz w:val="21"/>
        </w:rPr>
        <w:t>[Filed 4/10/80, Notice 12/26/79—published 4/30/80, effective 6/4/80]</w:t>
      </w:r>
    </w:p>
    <w:p>
      <w:pPr>
        <w:spacing w:before="0" w:after="0"/>
        <w:ind w:left="120"/>
        <w:jc w:val="center"/>
      </w:pPr>
      <w:r>
        <w:rPr>
          <w:rFonts w:ascii="Times New Roman" w:hAnsi="Times New Roman"/>
          <w:b w:val="false"/>
          <w:i w:val="false"/>
          <w:color w:val="000000"/>
          <w:sz w:val="21"/>
        </w:rPr>
        <w:t>[Filed 9/26/80, Notice 5/28/80—published 10/15/80, effective 11/19/80]</w:t>
      </w:r>
    </w:p>
    <w:p>
      <w:pPr>
        <w:spacing w:before="0" w:after="0"/>
        <w:ind w:left="120"/>
        <w:jc w:val="center"/>
      </w:pPr>
      <w:r>
        <w:rPr>
          <w:rFonts w:ascii="Times New Roman" w:hAnsi="Times New Roman"/>
          <w:b w:val="false"/>
          <w:i w:val="false"/>
          <w:color w:val="000000"/>
          <w:sz w:val="21"/>
        </w:rPr>
        <w:t>[Filed 12/12/80, Notice 10/15/80—published 1/7/81, effective 2/11/81]</w:t>
      </w:r>
    </w:p>
    <w:p>
      <w:pPr>
        <w:spacing w:before="0" w:after="0"/>
        <w:ind w:left="120"/>
        <w:jc w:val="center"/>
      </w:pPr>
      <w:r>
        <w:rPr>
          <w:rFonts w:ascii="Times New Roman" w:hAnsi="Times New Roman"/>
          <w:b w:val="false"/>
          <w:i w:val="false"/>
          <w:color w:val="000000"/>
          <w:sz w:val="21"/>
        </w:rPr>
        <w:t>[Filed 4/23/81, Notice 2/18/81—published 5 /13 /81, effective 6/17/81]</w:t>
      </w:r>
    </w:p>
    <w:p>
      <w:pPr>
        <w:spacing w:before="0" w:after="0"/>
        <w:ind w:left="120"/>
        <w:jc w:val="center"/>
      </w:pPr>
      <w:r>
        <w:rPr>
          <w:rFonts w:ascii="Times New Roman" w:hAnsi="Times New Roman"/>
          <w:b w:val="false"/>
          <w:i w:val="false"/>
          <w:color w:val="000000"/>
          <w:sz w:val="21"/>
        </w:rPr>
        <w:t>[Filed 9/24/82, Notice 3/17/82—published 10/13/82, effective 11/17/82]</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7/25/84, Notice 5/9/84—published 8/15/84, effective 9/19/84]</w:t>
      </w:r>
    </w:p>
    <w:p>
      <w:pPr>
        <w:spacing w:before="0" w:after="0"/>
        <w:ind w:left="120"/>
        <w:jc w:val="center"/>
      </w:pPr>
      <w:r>
        <w:rPr>
          <w:rFonts w:ascii="Times New Roman" w:hAnsi="Times New Roman"/>
          <w:b w:val="false"/>
          <w:i w:val="false"/>
          <w:color w:val="000000"/>
          <w:sz w:val="21"/>
        </w:rPr>
        <w:t>[Filed 12/20/85, Notice 7/17/85—published 1/15/86, effective 2/19/86]</w:t>
      </w:r>
    </w:p>
    <w:p>
      <w:pPr>
        <w:spacing w:before="0" w:after="0"/>
        <w:ind w:left="120"/>
        <w:jc w:val="center"/>
      </w:pPr>
      <w:r>
        <w:rPr>
          <w:rFonts w:ascii="Times New Roman" w:hAnsi="Times New Roman"/>
          <w:b w:val="false"/>
          <w:i w:val="false"/>
          <w:color w:val="000000"/>
          <w:sz w:val="21"/>
        </w:rPr>
        <w:t>[Filed 5/2/86, Notice 1/15/86—published 5/21/86, effective 6/25/86]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2/20/87, Notice 12/3/86—published 3/11/87, effective 4/15/87]</w:t>
      </w:r>
    </w:p>
    <w:p>
      <w:pPr>
        <w:spacing w:before="0" w:after="0"/>
        <w:ind w:left="120"/>
        <w:jc w:val="center"/>
      </w:pPr>
      <w:r>
        <w:rPr>
          <w:rFonts w:ascii="Times New Roman" w:hAnsi="Times New Roman"/>
          <w:b w:val="false"/>
          <w:i w:val="false"/>
          <w:color w:val="000000"/>
          <w:sz w:val="21"/>
        </w:rPr>
        <w:t>[Filed 7/22/88, Notice 5/18/88—published 8/10/88, effective 9/14/88]</w:t>
      </w:r>
    </w:p>
    <w:p>
      <w:pPr>
        <w:spacing w:before="0" w:after="0"/>
        <w:ind w:left="120"/>
        <w:jc w:val="center"/>
      </w:pPr>
      <w:r>
        <w:rPr>
          <w:rFonts w:ascii="Times New Roman" w:hAnsi="Times New Roman"/>
          <w:b w:val="false"/>
          <w:i w:val="false"/>
          <w:color w:val="000000"/>
          <w:sz w:val="21"/>
        </w:rPr>
        <w:t>[Filed 10/28/88, Notice 7/27/88—published 11/16/88, effective 12/21/88]</w:t>
      </w:r>
    </w:p>
    <w:p>
      <w:pPr>
        <w:spacing w:before="0" w:after="0"/>
        <w:ind w:left="120"/>
        <w:jc w:val="center"/>
      </w:pPr>
      <w:r>
        <w:rPr>
          <w:rFonts w:ascii="Times New Roman" w:hAnsi="Times New Roman"/>
          <w:b w:val="false"/>
          <w:i w:val="false"/>
          <w:color w:val="000000"/>
          <w:sz w:val="21"/>
        </w:rPr>
        <w:t>[Filed 1/19/90, Notice 11/15/89—published 2/7/90, effective 3/14/90]</w:t>
      </w:r>
    </w:p>
    <w:p>
      <w:pPr>
        <w:spacing w:before="0" w:after="0"/>
        <w:ind w:left="120"/>
        <w:jc w:val="center"/>
      </w:pPr>
      <w:r>
        <w:rPr>
          <w:rFonts w:ascii="Times New Roman" w:hAnsi="Times New Roman"/>
          <w:b w:val="false"/>
          <w:i w:val="false"/>
          <w:color w:val="000000"/>
          <w:sz w:val="21"/>
        </w:rPr>
        <w:t>[Filed 9/28/90, Notice 6/13/90—published 10/17/90, effective 11/21/90]</w:t>
      </w:r>
    </w:p>
    <w:p>
      <w:pPr>
        <w:spacing w:before="0" w:after="0"/>
        <w:ind w:left="120"/>
        <w:jc w:val="center"/>
      </w:pPr>
      <w:r>
        <w:rPr>
          <w:rFonts w:ascii="Times New Roman" w:hAnsi="Times New Roman"/>
          <w:b w:val="false"/>
          <w:i w:val="false"/>
          <w:color w:val="000000"/>
          <w:sz w:val="21"/>
        </w:rPr>
        <w:t>[Filed 12/30/92, Notice 9/16/92—published 1/20/93, effective 2/24/93]</w:t>
      </w:r>
    </w:p>
    <w:p>
      <w:pPr>
        <w:spacing w:before="0" w:after="0"/>
        <w:ind w:left="120"/>
        <w:jc w:val="center"/>
      </w:pPr>
      <w:r>
        <w:rPr>
          <w:rFonts w:ascii="Times New Roman" w:hAnsi="Times New Roman"/>
          <w:b w:val="false"/>
          <w:i w:val="false"/>
          <w:color w:val="000000"/>
          <w:sz w:val="21"/>
        </w:rPr>
        <w:t>[Filed 2/25/94, Notice 10/13/93—published 3/16/94, effective 4/20/94]</w:t>
      </w:r>
    </w:p>
    <w:p>
      <w:pPr>
        <w:spacing w:before="0" w:after="0"/>
        <w:ind w:left="120"/>
        <w:jc w:val="center"/>
      </w:pPr>
      <w:r>
        <w:rPr>
          <w:rFonts w:ascii="Times New Roman" w:hAnsi="Times New Roman"/>
          <w:b w:val="false"/>
          <w:i w:val="false"/>
          <w:color w:val="000000"/>
          <w:sz w:val="21"/>
        </w:rPr>
        <w:t>[Filed 9/23/94, Notice 6/22/94—published 10/12/94, effective 11/16/94]</w:t>
      </w:r>
    </w:p>
    <w:p>
      <w:pPr>
        <w:spacing w:before="0" w:after="0"/>
        <w:ind w:left="120"/>
        <w:jc w:val="center"/>
      </w:pPr>
      <w:r>
        <w:rPr>
          <w:rFonts w:ascii="Times New Roman" w:hAnsi="Times New Roman"/>
          <w:b w:val="false"/>
          <w:i w:val="false"/>
          <w:color w:val="000000"/>
          <w:sz w:val="21"/>
        </w:rPr>
        <w:t>[Filed 10/21/94, Notice 4/13/94—published 11/9/94, effective 12/14/94]</w:t>
      </w:r>
    </w:p>
    <w:p>
      <w:pPr>
        <w:spacing w:before="0" w:after="0"/>
        <w:ind w:left="120"/>
        <w:jc w:val="center"/>
      </w:pPr>
      <w:r>
        <w:rPr>
          <w:rFonts w:ascii="Times New Roman" w:hAnsi="Times New Roman"/>
          <w:b w:val="false"/>
          <w:i w:val="false"/>
          <w:color w:val="000000"/>
          <w:sz w:val="21"/>
        </w:rPr>
        <w:t>[Filed without Notice 11/18/94—published 12/7/94, effective 1/11/95]</w:t>
      </w:r>
    </w:p>
    <w:p>
      <w:pPr>
        <w:spacing w:before="0" w:after="0"/>
        <w:ind w:left="120"/>
        <w:jc w:val="center"/>
      </w:pPr>
      <w:r>
        <w:rPr>
          <w:rFonts w:ascii="Times New Roman" w:hAnsi="Times New Roman"/>
          <w:b w:val="false"/>
          <w:i w:val="false"/>
          <w:color w:val="000000"/>
          <w:sz w:val="21"/>
        </w:rPr>
        <w:t>[Filed emergency 2/24/95—published 3/15/95, effective 2/24/95]</w:t>
      </w:r>
    </w:p>
    <w:p>
      <w:pPr>
        <w:spacing w:before="0" w:after="0"/>
        <w:ind w:left="120"/>
        <w:jc w:val="center"/>
      </w:pPr>
      <w:r>
        <w:rPr>
          <w:rFonts w:ascii="Times New Roman" w:hAnsi="Times New Roman"/>
          <w:b w:val="false"/>
          <w:i w:val="false"/>
          <w:color w:val="000000"/>
          <w:sz w:val="21"/>
        </w:rPr>
        <w:t>[Filed 5/19/95, Notices 12/21/94, 3/15/95—published 6/7/95, effective 7/12/95]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8/25/95, Notice 6/7/95—published 9/13/95, effective 10/18/95]</w:t>
      </w:r>
      <w:r>
        <w:rPr>
          <w:rFonts w:ascii="Times New Roman" w:hAnsi="Times New Roman"/>
          <w:b w:val="false"/>
          <w:i w:val="false"/>
          <w:color w:val="000000"/>
          <w:sz w:val="10"/>
        </w:rPr>
        <w:t>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10/20/95—published 11/8/95, effective 10/20/95]</w:t>
      </w:r>
    </w:p>
    <w:p>
      <w:pPr>
        <w:spacing w:before="0" w:after="0"/>
        <w:ind w:left="120"/>
        <w:jc w:val="center"/>
      </w:pPr>
      <w:r>
        <w:rPr>
          <w:rFonts w:ascii="Times New Roman" w:hAnsi="Times New Roman"/>
          <w:b w:val="false"/>
          <w:i w:val="false"/>
          <w:color w:val="000000"/>
          <w:sz w:val="21"/>
        </w:rPr>
        <w:t>[Filed emergency 11/16/95—published 12/6/95, effective 11/16/95]</w:t>
      </w:r>
    </w:p>
    <w:p>
      <w:pPr>
        <w:spacing w:before="0" w:after="0"/>
        <w:ind w:left="120"/>
        <w:jc w:val="center"/>
      </w:pPr>
      <w:r>
        <w:rPr>
          <w:rFonts w:ascii="Times New Roman" w:hAnsi="Times New Roman"/>
          <w:b w:val="false"/>
          <w:i w:val="false"/>
          <w:color w:val="000000"/>
          <w:sz w:val="21"/>
        </w:rPr>
        <w:t>[Filed 1/26/96, Notices 11/8/95, 12/6/95—published 2/14/96, effective 3/20/96]</w:t>
      </w:r>
    </w:p>
    <w:p>
      <w:pPr>
        <w:spacing w:before="0" w:after="0"/>
        <w:ind w:left="120"/>
        <w:jc w:val="center"/>
      </w:pPr>
      <w:r>
        <w:rPr>
          <w:rFonts w:ascii="Times New Roman" w:hAnsi="Times New Roman"/>
          <w:b w:val="false"/>
          <w:i w:val="false"/>
          <w:color w:val="000000"/>
          <w:sz w:val="21"/>
        </w:rPr>
        <w:t>[Filed 1/26/96, Notice 11/8/95—published 2/14/96, effective 3/20/96]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4/19/96, Notice 1/17/96—published 5/8/96, effective 6/12/96</w:t>
      </w:r>
      <w:r>
        <w:rPr>
          <w:rFonts w:ascii="Times New Roman" w:hAnsi="Times New Roman"/>
          <w:b w:val="false"/>
          <w:i w:val="false"/>
          <w:color w:val="000000"/>
          <w:sz w:val="10"/>
        </w:rPr>
        <w:t>3</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5/31/96, Notice 3/13/96—published 6/19/96, effective 7/24/96]</w:t>
      </w:r>
    </w:p>
    <w:p>
      <w:pPr>
        <w:spacing w:before="0" w:after="0"/>
        <w:ind w:left="120"/>
        <w:jc w:val="center"/>
      </w:pPr>
      <w:r>
        <w:rPr>
          <w:rFonts w:ascii="Times New Roman" w:hAnsi="Times New Roman"/>
          <w:b w:val="false"/>
          <w:i w:val="false"/>
          <w:color w:val="000000"/>
          <w:sz w:val="21"/>
        </w:rPr>
        <w:t>[Filed 8/23/96, Notice 5/8/96—published 9/11/96, effective 10/16/96]</w:t>
      </w:r>
    </w:p>
    <w:p>
      <w:pPr>
        <w:spacing w:before="0" w:after="0"/>
        <w:ind w:left="120"/>
        <w:jc w:val="center"/>
      </w:pPr>
      <w:r>
        <w:rPr>
          <w:rFonts w:ascii="Times New Roman" w:hAnsi="Times New Roman"/>
          <w:b w:val="false"/>
          <w:i w:val="false"/>
          <w:color w:val="000000"/>
          <w:sz w:val="21"/>
        </w:rPr>
        <w:t>[Filed 11/1/96, Notice 8/14/96—published 11/20/96, effective 12/25/96]</w:t>
      </w:r>
    </w:p>
    <w:p>
      <w:pPr>
        <w:spacing w:before="0" w:after="0"/>
        <w:ind w:left="120"/>
        <w:jc w:val="center"/>
      </w:pPr>
      <w:r>
        <w:rPr>
          <w:rFonts w:ascii="Times New Roman" w:hAnsi="Times New Roman"/>
          <w:b w:val="false"/>
          <w:i w:val="false"/>
          <w:color w:val="000000"/>
          <w:sz w:val="21"/>
        </w:rPr>
        <w:t>[Filed 3/20/97, Notice 10/9/96—published 4/9/97, effective 5/14/97]</w:t>
      </w:r>
    </w:p>
    <w:p>
      <w:pPr>
        <w:spacing w:before="0" w:after="0"/>
        <w:ind w:left="120"/>
        <w:jc w:val="center"/>
      </w:pPr>
      <w:r>
        <w:rPr>
          <w:rFonts w:ascii="Times New Roman" w:hAnsi="Times New Roman"/>
          <w:b w:val="false"/>
          <w:i w:val="false"/>
          <w:color w:val="000000"/>
          <w:sz w:val="21"/>
        </w:rPr>
        <w:t>[Filed 3/20/97, Notice 11/20/96—published 4/9/97, effective 5/14/97]</w:t>
      </w:r>
    </w:p>
    <w:p>
      <w:pPr>
        <w:spacing w:before="0" w:after="0"/>
        <w:ind w:left="120"/>
        <w:jc w:val="center"/>
      </w:pPr>
      <w:r>
        <w:rPr>
          <w:rFonts w:ascii="Times New Roman" w:hAnsi="Times New Roman"/>
          <w:b w:val="false"/>
          <w:i w:val="false"/>
          <w:color w:val="000000"/>
          <w:sz w:val="21"/>
        </w:rPr>
        <w:t>[Filed 6/27/97, Notice 3/12/97—published 7/16/97, effective 8/20/97]</w:t>
      </w:r>
    </w:p>
    <w:p>
      <w:pPr>
        <w:spacing w:before="0" w:after="0"/>
        <w:ind w:left="120"/>
        <w:jc w:val="center"/>
      </w:pPr>
      <w:r>
        <w:rPr>
          <w:rFonts w:ascii="Times New Roman" w:hAnsi="Times New Roman"/>
          <w:b w:val="false"/>
          <w:i w:val="false"/>
          <w:color w:val="000000"/>
          <w:sz w:val="21"/>
        </w:rPr>
        <w:t>[Filed 3/19/98, Notice 1/14/98—published 4/8/98, effective 5/13/98]</w:t>
      </w:r>
    </w:p>
    <w:p>
      <w:pPr>
        <w:spacing w:before="0" w:after="0"/>
        <w:ind w:left="120"/>
        <w:jc w:val="center"/>
      </w:pPr>
      <w:r>
        <w:rPr>
          <w:rFonts w:ascii="Times New Roman" w:hAnsi="Times New Roman"/>
          <w:b w:val="false"/>
          <w:i w:val="false"/>
          <w:color w:val="000000"/>
          <w:sz w:val="21"/>
        </w:rPr>
        <w:t>[Filed emergency 5/29/98—published 6/17/98, effective 6/29/98]</w:t>
      </w:r>
    </w:p>
    <w:p>
      <w:pPr>
        <w:spacing w:before="0" w:after="0"/>
        <w:ind w:left="120"/>
        <w:jc w:val="center"/>
      </w:pPr>
      <w:r>
        <w:rPr>
          <w:rFonts w:ascii="Times New Roman" w:hAnsi="Times New Roman"/>
          <w:b w:val="false"/>
          <w:i w:val="false"/>
          <w:color w:val="000000"/>
          <w:sz w:val="21"/>
        </w:rPr>
        <w:t>[Filed 6/26/98, Notice 3/11/98—published 7/15/98, effective 8/19/98]</w:t>
      </w:r>
    </w:p>
    <w:p>
      <w:pPr>
        <w:spacing w:before="0" w:after="0"/>
        <w:ind w:left="120"/>
        <w:jc w:val="center"/>
      </w:pPr>
      <w:r>
        <w:rPr>
          <w:rFonts w:ascii="Times New Roman" w:hAnsi="Times New Roman"/>
          <w:b w:val="false"/>
          <w:i w:val="false"/>
          <w:color w:val="000000"/>
          <w:sz w:val="21"/>
        </w:rPr>
        <w:t>[Filed 8/21/98, Notice 6/17/98—published 9/9/98, effective 10/14/98]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10/30/98, Notice 8/26/98—published 11/18/98, effective 12/23/98]</w:t>
      </w:r>
    </w:p>
    <w:p>
      <w:pPr>
        <w:spacing w:before="0" w:after="0"/>
        <w:ind w:left="120"/>
        <w:jc w:val="center"/>
      </w:pPr>
      <w:r>
        <w:rPr>
          <w:rFonts w:ascii="Times New Roman" w:hAnsi="Times New Roman"/>
          <w:b w:val="false"/>
          <w:i w:val="false"/>
          <w:color w:val="000000"/>
          <w:sz w:val="21"/>
        </w:rPr>
        <w:t>[Filed 3/19/99, Notice 12/30/98—published 4/7/99, effective 5/12/99]</w:t>
      </w:r>
    </w:p>
    <w:p>
      <w:pPr>
        <w:spacing w:before="0" w:after="0"/>
        <w:ind w:left="120"/>
        <w:jc w:val="center"/>
      </w:pPr>
      <w:r>
        <w:rPr>
          <w:rFonts w:ascii="Times New Roman" w:hAnsi="Times New Roman"/>
          <w:b w:val="false"/>
          <w:i w:val="false"/>
          <w:color w:val="000000"/>
          <w:sz w:val="21"/>
        </w:rPr>
        <w:t>[Filed 5/28/99, Notice 3/10/99—published 6/16/99, effective 7/21/99]</w:t>
      </w:r>
    </w:p>
    <w:p>
      <w:pPr>
        <w:spacing w:before="0" w:after="0"/>
        <w:ind w:left="120"/>
        <w:jc w:val="center"/>
      </w:pPr>
      <w:r>
        <w:rPr>
          <w:rFonts w:ascii="Times New Roman" w:hAnsi="Times New Roman"/>
          <w:b w:val="false"/>
          <w:i w:val="false"/>
          <w:color w:val="000000"/>
          <w:sz w:val="21"/>
        </w:rPr>
        <w:t>[Filed 3/3/00, Notice 12/15/99—published 3/22/00, effective 4/26/00]</w:t>
      </w:r>
    </w:p>
    <w:p>
      <w:pPr>
        <w:spacing w:before="0" w:after="0"/>
        <w:ind w:left="120"/>
        <w:jc w:val="center"/>
      </w:pPr>
      <w:r>
        <w:rPr>
          <w:rFonts w:ascii="Times New Roman" w:hAnsi="Times New Roman"/>
          <w:b w:val="false"/>
          <w:i w:val="false"/>
          <w:color w:val="000000"/>
          <w:sz w:val="21"/>
        </w:rPr>
        <w:t>[Filed 1/19/01, Notice 6/14/00—published 2/7/01, effective 3/14/01</w:t>
      </w:r>
      <w:r>
        <w:rPr>
          <w:rFonts w:ascii="Times New Roman" w:hAnsi="Times New Roman"/>
          <w:b w:val="false"/>
          <w:i w:val="false"/>
          <w:color w:val="000000"/>
          <w:sz w:val="10"/>
        </w:rPr>
        <w:t>4</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6/21/01, Notice 3/21/01—published 7/11/01, effective 8/15/01]</w:t>
      </w:r>
    </w:p>
    <w:p>
      <w:pPr>
        <w:spacing w:before="0" w:after="0"/>
        <w:ind w:left="120"/>
        <w:jc w:val="center"/>
      </w:pPr>
      <w:r>
        <w:rPr>
          <w:rFonts w:ascii="Times New Roman" w:hAnsi="Times New Roman"/>
          <w:b w:val="false"/>
          <w:i w:val="false"/>
          <w:color w:val="000000"/>
          <w:sz w:val="21"/>
        </w:rPr>
        <w:t>[Filed 12/19/01, Notice 10/17/01—published 1/9/02, effective 2/13/02]</w:t>
      </w:r>
    </w:p>
    <w:p>
      <w:pPr>
        <w:spacing w:before="0" w:after="0"/>
        <w:ind w:left="120"/>
        <w:jc w:val="center"/>
      </w:pPr>
      <w:r>
        <w:rPr>
          <w:rFonts w:ascii="Times New Roman" w:hAnsi="Times New Roman"/>
          <w:b w:val="false"/>
          <w:i w:val="false"/>
          <w:color w:val="000000"/>
          <w:sz w:val="21"/>
        </w:rPr>
        <w:t>[Filed 2/28/02, Notice 12/12/01—published 3/20/02, effective 4/24/02]</w:t>
      </w:r>
    </w:p>
    <w:p>
      <w:pPr>
        <w:spacing w:before="0" w:after="0"/>
        <w:ind w:left="120"/>
        <w:jc w:val="center"/>
      </w:pPr>
      <w:r>
        <w:rPr>
          <w:rFonts w:ascii="Times New Roman" w:hAnsi="Times New Roman"/>
          <w:b w:val="false"/>
          <w:i w:val="false"/>
          <w:color w:val="000000"/>
          <w:sz w:val="21"/>
        </w:rPr>
        <w:t>[Filed 5/24/02, Notice 10/17/01—published 6/12/02, effective 7/17/02]</w:t>
      </w:r>
    </w:p>
    <w:p>
      <w:pPr>
        <w:spacing w:before="0" w:after="0"/>
        <w:ind w:left="120"/>
        <w:jc w:val="center"/>
      </w:pPr>
      <w:r>
        <w:rPr>
          <w:rFonts w:ascii="Times New Roman" w:hAnsi="Times New Roman"/>
          <w:b w:val="false"/>
          <w:i w:val="false"/>
          <w:color w:val="000000"/>
          <w:sz w:val="21"/>
        </w:rPr>
        <w:t>[Filed 5/24/02, Notice 3/20/02—published 6/12/02, effective 7/17/02]</w:t>
      </w:r>
    </w:p>
    <w:p>
      <w:pPr>
        <w:spacing w:before="0" w:after="0"/>
        <w:ind w:left="120"/>
        <w:jc w:val="center"/>
      </w:pPr>
      <w:r>
        <w:rPr>
          <w:rFonts w:ascii="Times New Roman" w:hAnsi="Times New Roman"/>
          <w:b w:val="false"/>
          <w:i w:val="false"/>
          <w:color w:val="000000"/>
          <w:sz w:val="21"/>
        </w:rPr>
        <w:t>[Filed 11/21/02, Notice 6/12/02—published 12/11/02, effective 1/15/03]</w:t>
      </w:r>
    </w:p>
    <w:p>
      <w:pPr>
        <w:spacing w:before="0" w:after="0"/>
        <w:ind w:left="120"/>
        <w:jc w:val="center"/>
      </w:pPr>
      <w:r>
        <w:rPr>
          <w:rFonts w:ascii="Times New Roman" w:hAnsi="Times New Roman"/>
          <w:b w:val="false"/>
          <w:i w:val="false"/>
          <w:color w:val="000000"/>
          <w:sz w:val="21"/>
        </w:rPr>
        <w:t>[Filed without Notice 2/28/03—published 3/19/03, effective 4/23/03]</w:t>
      </w:r>
    </w:p>
    <w:p>
      <w:pPr>
        <w:spacing w:before="0" w:after="0"/>
        <w:ind w:left="120"/>
        <w:jc w:val="center"/>
      </w:pPr>
      <w:r>
        <w:rPr>
          <w:rFonts w:ascii="Times New Roman" w:hAnsi="Times New Roman"/>
          <w:b w:val="false"/>
          <w:i w:val="false"/>
          <w:color w:val="000000"/>
          <w:sz w:val="21"/>
        </w:rPr>
        <w:t>[Filed 5/22/03, Notice 3/19/03—published 6/11/03, effective 7/16/03]</w:t>
      </w:r>
    </w:p>
    <w:p>
      <w:pPr>
        <w:spacing w:before="0" w:after="0"/>
        <w:ind w:left="120"/>
        <w:jc w:val="center"/>
      </w:pPr>
      <w:r>
        <w:rPr>
          <w:rFonts w:ascii="Times New Roman" w:hAnsi="Times New Roman"/>
          <w:b w:val="false"/>
          <w:i w:val="false"/>
          <w:color w:val="000000"/>
          <w:sz w:val="21"/>
        </w:rPr>
        <w:t>[Filed 8/15/03, Notice 5/14/03—published 9/3/03, effective 10/8/03]</w:t>
      </w:r>
    </w:p>
    <w:p>
      <w:pPr>
        <w:spacing w:before="0" w:after="0"/>
        <w:ind w:left="120"/>
        <w:jc w:val="center"/>
      </w:pPr>
      <w:r>
        <w:rPr>
          <w:rFonts w:ascii="Times New Roman" w:hAnsi="Times New Roman"/>
          <w:b w:val="false"/>
          <w:i w:val="false"/>
          <w:color w:val="000000"/>
          <w:sz w:val="21"/>
        </w:rPr>
        <w:t>[Filed 8/29/03, Notice 6/11/03—published 9/17/03, effective 10/22/03]</w:t>
      </w:r>
    </w:p>
    <w:p>
      <w:pPr>
        <w:spacing w:before="0" w:after="0"/>
        <w:ind w:left="120"/>
        <w:jc w:val="center"/>
      </w:pPr>
      <w:r>
        <w:rPr>
          <w:rFonts w:ascii="Times New Roman" w:hAnsi="Times New Roman"/>
          <w:b w:val="false"/>
          <w:i w:val="false"/>
          <w:color w:val="000000"/>
          <w:sz w:val="21"/>
        </w:rPr>
        <w:t>[Filed 11/19/03, Notice 9/17/03—published 12/10/03, effective 1/14/04]</w:t>
      </w:r>
    </w:p>
    <w:p>
      <w:pPr>
        <w:spacing w:before="0" w:after="0"/>
        <w:ind w:left="120"/>
        <w:jc w:val="center"/>
      </w:pPr>
      <w:r>
        <w:rPr>
          <w:rFonts w:ascii="Times New Roman" w:hAnsi="Times New Roman"/>
          <w:b w:val="false"/>
          <w:i w:val="false"/>
          <w:color w:val="000000"/>
          <w:sz w:val="21"/>
        </w:rPr>
        <w:t>[Filed 10/22/04, Notice 7/21/04—published 11/10/04, effective 12/15/04]</w:t>
      </w:r>
    </w:p>
    <w:p>
      <w:pPr>
        <w:spacing w:before="0" w:after="0"/>
        <w:ind w:left="120"/>
        <w:jc w:val="center"/>
      </w:pPr>
      <w:r>
        <w:rPr>
          <w:rFonts w:ascii="Times New Roman" w:hAnsi="Times New Roman"/>
          <w:b w:val="false"/>
          <w:i w:val="false"/>
          <w:color w:val="000000"/>
          <w:sz w:val="21"/>
        </w:rPr>
        <w:t>[Filed 2/25/05, Notice 12/8/04—published 3/16/05, effective 4/20/05]</w:t>
      </w:r>
    </w:p>
    <w:p>
      <w:pPr>
        <w:spacing w:before="0" w:after="0"/>
        <w:ind w:left="120"/>
        <w:jc w:val="center"/>
      </w:pPr>
      <w:r>
        <w:rPr>
          <w:rFonts w:ascii="Times New Roman" w:hAnsi="Times New Roman"/>
          <w:b w:val="false"/>
          <w:i w:val="false"/>
          <w:color w:val="000000"/>
          <w:sz w:val="21"/>
        </w:rPr>
        <w:t>[Filed 5/18/05, Notice 3/16/05—published 6/8/05, effective 7/13/05]</w:t>
      </w:r>
    </w:p>
    <w:p>
      <w:pPr>
        <w:spacing w:before="0" w:after="0"/>
        <w:ind w:left="120"/>
        <w:jc w:val="center"/>
      </w:pPr>
      <w:r>
        <w:rPr>
          <w:rFonts w:ascii="Times New Roman" w:hAnsi="Times New Roman"/>
          <w:b w:val="false"/>
          <w:i w:val="false"/>
          <w:color w:val="000000"/>
          <w:sz w:val="21"/>
        </w:rPr>
        <w:t>[Filed 8/23/05, Notice 5/11/05—published 9/14/05, effective 10/19/05]</w:t>
      </w:r>
    </w:p>
    <w:p>
      <w:pPr>
        <w:spacing w:before="0" w:after="0"/>
        <w:ind w:left="120"/>
        <w:jc w:val="center"/>
      </w:pPr>
      <w:r>
        <w:rPr>
          <w:rFonts w:ascii="Times New Roman" w:hAnsi="Times New Roman"/>
          <w:b w:val="false"/>
          <w:i w:val="false"/>
          <w:color w:val="000000"/>
          <w:sz w:val="21"/>
        </w:rPr>
        <w:t>[Filed 2/24/06, Notice 11/9/05—published 3/15/06, effective 4/19/06]</w:t>
      </w:r>
    </w:p>
    <w:p>
      <w:pPr>
        <w:spacing w:before="0" w:after="0"/>
        <w:ind w:left="120"/>
        <w:jc w:val="center"/>
      </w:pPr>
      <w:r>
        <w:rPr>
          <w:rFonts w:ascii="Times New Roman" w:hAnsi="Times New Roman"/>
          <w:b w:val="false"/>
          <w:i w:val="false"/>
          <w:color w:val="000000"/>
          <w:sz w:val="21"/>
        </w:rPr>
        <w:t>[Filed 5/17/06, Notice 1/18/06—published 6/7/06, effective 7/12/06]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6/28/06, Notice 4/12/06—published 7/19/06, effective 8/23/06]</w:t>
      </w:r>
    </w:p>
    <w:p>
      <w:pPr>
        <w:spacing w:before="0" w:after="0"/>
        <w:ind w:left="120"/>
        <w:jc w:val="center"/>
      </w:pPr>
      <w:r>
        <w:rPr>
          <w:rFonts w:ascii="Times New Roman" w:hAnsi="Times New Roman"/>
          <w:b w:val="false"/>
          <w:i w:val="false"/>
          <w:color w:val="000000"/>
          <w:sz w:val="21"/>
        </w:rPr>
        <w:t>[Filed 8/25/06, Notice 6/7/06—published 9/27/06, effective 11/1/06]</w:t>
      </w:r>
    </w:p>
    <w:p>
      <w:pPr>
        <w:spacing w:before="0" w:after="0"/>
        <w:ind w:left="120"/>
        <w:jc w:val="center"/>
      </w:pPr>
      <w:r>
        <w:rPr>
          <w:rFonts w:ascii="Times New Roman" w:hAnsi="Times New Roman"/>
          <w:b w:val="false"/>
          <w:i w:val="false"/>
          <w:color w:val="000000"/>
          <w:sz w:val="21"/>
        </w:rPr>
        <w:t>[Filed 2/8/07, Notice 12/6/06—published 2/28/07, effective 4/4/07]</w:t>
      </w:r>
    </w:p>
    <w:p>
      <w:pPr>
        <w:spacing w:before="0" w:after="0"/>
        <w:ind w:left="120"/>
        <w:jc w:val="center"/>
      </w:pPr>
      <w:r>
        <w:rPr>
          <w:rFonts w:ascii="Times New Roman" w:hAnsi="Times New Roman"/>
          <w:b w:val="false"/>
          <w:i w:val="false"/>
          <w:color w:val="000000"/>
          <w:sz w:val="21"/>
        </w:rPr>
        <w:t>[Filed 5/3/07, Notice 1/31/07—published 5/23/07, effective 6/27/07]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10/4/07 after Notice 8/1/07—published 10/24/07, effective 10/4/07]</w:t>
      </w:r>
    </w:p>
    <w:p>
      <w:pPr>
        <w:spacing w:before="0" w:after="0"/>
        <w:ind w:left="120"/>
        <w:jc w:val="center"/>
      </w:pPr>
      <w:r>
        <w:rPr>
          <w:rFonts w:ascii="Times New Roman" w:hAnsi="Times New Roman"/>
          <w:b w:val="false"/>
          <w:i w:val="false"/>
          <w:color w:val="000000"/>
          <w:sz w:val="21"/>
        </w:rPr>
        <w:t>[Filed 1/23/08, Notice 8/29/07—published 2/13/08, effective 3/19/08]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7565B</w:t>
      </w:r>
      <w:r>
        <w:rPr>
          <w:rFonts w:ascii="Times New Roman" w:hAnsi="Times New Roman"/>
          <w:b w:val="false"/>
          <w:i w:val="false"/>
          <w:color w:val="000000"/>
          <w:sz w:val="21"/>
        </w:rPr>
        <w:t xml:space="preserve"> (Notice ARC 7306B, IAB 11/5/08)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8215B</w:t>
      </w:r>
      <w:r>
        <w:rPr>
          <w:rFonts w:ascii="Times New Roman" w:hAnsi="Times New Roman"/>
          <w:b w:val="false"/>
          <w:i w:val="false"/>
          <w:color w:val="000000"/>
          <w:sz w:val="21"/>
        </w:rPr>
        <w:t xml:space="preserve"> (Notice ARC 7855B, IAB 6/17/09)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9224B</w:t>
      </w:r>
      <w:r>
        <w:rPr>
          <w:rFonts w:ascii="Times New Roman" w:hAnsi="Times New Roman"/>
          <w:b w:val="false"/>
          <w:i w:val="false"/>
          <w:color w:val="000000"/>
          <w:sz w:val="21"/>
        </w:rPr>
        <w:t xml:space="preserve"> (Notice ARC 8999B, IAB 8/11/10)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Emergency After Notice ARC 9906B</w:t>
      </w:r>
      <w:r>
        <w:rPr>
          <w:rFonts w:ascii="Times New Roman" w:hAnsi="Times New Roman"/>
          <w:b w:val="false"/>
          <w:i w:val="false"/>
          <w:color w:val="000000"/>
          <w:sz w:val="21"/>
        </w:rPr>
        <w:t xml:space="preserve"> (Notice ARC 9736B, IAB 9/7/11)</w:t>
      </w:r>
      <w:r>
        <w:rPr>
          <w:rFonts w:ascii="Times New Roman" w:hAnsi="Times New Roman"/>
          <w:b w:val="false"/>
          <w:i w:val="false"/>
          <w:color w:val="000000"/>
          <w:sz w:val="21"/>
        </w:rPr>
        <w:t>, IAB 12/14/11, effective 11/16/11]</w:t>
      </w:r>
    </w:p>
    <w:p>
      <w:pPr>
        <w:spacing w:before="0" w:after="0"/>
        <w:ind w:left="120"/>
        <w:jc w:val="center"/>
      </w:pPr>
      <w:r>
        <w:rPr>
          <w:rFonts w:ascii="Times New Roman" w:hAnsi="Times New Roman"/>
          <w:b w:val="false"/>
          <w:i w:val="false"/>
          <w:color w:val="000000"/>
          <w:sz w:val="21"/>
        </w:rPr>
        <w:t>[Filed ARC 0330C</w:t>
      </w:r>
      <w:r>
        <w:rPr>
          <w:rFonts w:ascii="Times New Roman" w:hAnsi="Times New Roman"/>
          <w:b w:val="false"/>
          <w:i w:val="false"/>
          <w:color w:val="000000"/>
          <w:sz w:val="21"/>
        </w:rPr>
        <w:t xml:space="preserve"> (Notice ARC 0087C, IAB 4/18/12; </w:t>
      </w:r>
      <w:r>
        <w:rPr>
          <w:rFonts w:ascii="Times New Roman" w:hAnsi="Times New Roman"/>
          <w:b w:val="false"/>
          <w:i w:val="false"/>
          <w:color w:val="000000"/>
          <w:sz w:val="21"/>
        </w:rPr>
        <w:t>Amended Notice ARC 0162C, IAB 6/13/12)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1013C</w:t>
      </w:r>
      <w:r>
        <w:rPr>
          <w:rFonts w:ascii="Times New Roman" w:hAnsi="Times New Roman"/>
          <w:b w:val="false"/>
          <w:i w:val="false"/>
          <w:color w:val="000000"/>
          <w:sz w:val="21"/>
        </w:rPr>
        <w:t xml:space="preserve"> (Notice ARC 0785C, IAB 6/12/13)</w:t>
      </w:r>
      <w:r>
        <w:rPr>
          <w:rFonts w:ascii="Times New Roman" w:hAnsi="Times New Roman"/>
          <w:b w:val="false"/>
          <w:i w:val="false"/>
          <w:color w:val="000000"/>
          <w:sz w:val="21"/>
        </w:rPr>
        <w:t>, IAB 9/18/13, effective 10/23/13]</w:t>
      </w:r>
    </w:p>
    <w:p>
      <w:pPr>
        <w:spacing w:before="0" w:after="0"/>
        <w:ind w:left="120"/>
        <w:jc w:val="center"/>
      </w:pPr>
      <w:r>
        <w:rPr>
          <w:rFonts w:ascii="Times New Roman" w:hAnsi="Times New Roman"/>
          <w:b w:val="false"/>
          <w:i w:val="false"/>
          <w:color w:val="000000"/>
          <w:sz w:val="21"/>
        </w:rPr>
        <w:t>[Filed ARC 1227C</w:t>
      </w:r>
      <w:r>
        <w:rPr>
          <w:rFonts w:ascii="Times New Roman" w:hAnsi="Times New Roman"/>
          <w:b w:val="false"/>
          <w:i w:val="false"/>
          <w:color w:val="000000"/>
          <w:sz w:val="21"/>
        </w:rPr>
        <w:t xml:space="preserve"> (Notice ARC 1016C, IAB 9/18/13)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1561C</w:t>
      </w:r>
      <w:r>
        <w:rPr>
          <w:rFonts w:ascii="Times New Roman" w:hAnsi="Times New Roman"/>
          <w:b w:val="false"/>
          <w:i w:val="false"/>
          <w:color w:val="000000"/>
          <w:sz w:val="21"/>
        </w:rPr>
        <w:t xml:space="preserve"> (Notice ARC 1458C, IAB 5/14/14)</w:t>
      </w:r>
      <w:r>
        <w:rPr>
          <w:rFonts w:ascii="Times New Roman" w:hAnsi="Times New Roman"/>
          <w:b w:val="false"/>
          <w:i w:val="false"/>
          <w:color w:val="000000"/>
          <w:sz w:val="21"/>
        </w:rPr>
        <w:t>, IAB 8/6/14, effective 9/10/14]</w:t>
      </w:r>
    </w:p>
    <w:p>
      <w:pPr>
        <w:spacing w:before="0" w:after="0"/>
        <w:ind w:left="120"/>
        <w:jc w:val="center"/>
      </w:pPr>
      <w:r>
        <w:rPr>
          <w:rFonts w:ascii="Times New Roman" w:hAnsi="Times New Roman"/>
          <w:b w:val="false"/>
          <w:i w:val="false"/>
          <w:color w:val="000000"/>
          <w:sz w:val="21"/>
        </w:rPr>
        <w:t>[Filed ARC 1913C</w:t>
      </w:r>
      <w:r>
        <w:rPr>
          <w:rFonts w:ascii="Times New Roman" w:hAnsi="Times New Roman"/>
          <w:b w:val="false"/>
          <w:i w:val="false"/>
          <w:color w:val="000000"/>
          <w:sz w:val="21"/>
        </w:rPr>
        <w:t xml:space="preserve"> (Notice ARC 1795C, IAB 12/24/14)</w:t>
      </w:r>
      <w:r>
        <w:rPr>
          <w:rFonts w:ascii="Times New Roman" w:hAnsi="Times New Roman"/>
          <w:b w:val="false"/>
          <w:i w:val="false"/>
          <w:color w:val="000000"/>
          <w:sz w:val="21"/>
        </w:rPr>
        <w:t>, IAB 3/18/15, effective 4/22/15]</w:t>
      </w:r>
    </w:p>
    <w:p>
      <w:pPr>
        <w:spacing w:before="0" w:after="0"/>
        <w:ind w:left="120"/>
        <w:jc w:val="center"/>
      </w:pPr>
      <w:r>
        <w:rPr>
          <w:rFonts w:ascii="Times New Roman" w:hAnsi="Times New Roman"/>
          <w:b w:val="false"/>
          <w:i w:val="false"/>
          <w:color w:val="000000"/>
          <w:sz w:val="21"/>
        </w:rPr>
        <w:t>[Filed Emergency After Notice ARC 2352C</w:t>
      </w:r>
      <w:r>
        <w:rPr>
          <w:rFonts w:ascii="Times New Roman" w:hAnsi="Times New Roman"/>
          <w:b w:val="false"/>
          <w:i w:val="false"/>
          <w:color w:val="000000"/>
          <w:sz w:val="21"/>
        </w:rPr>
        <w:t xml:space="preserve"> (Notice ARC 2222C, IAB 10/28/15)</w:t>
      </w:r>
      <w:r>
        <w:rPr>
          <w:rFonts w:ascii="Times New Roman" w:hAnsi="Times New Roman"/>
          <w:b w:val="false"/>
          <w:i w:val="false"/>
          <w:color w:val="000000"/>
          <w:sz w:val="21"/>
        </w:rPr>
        <w:t>, IAB 1/6/16, effective 12/16/15]</w:t>
      </w:r>
    </w:p>
    <w:p>
      <w:pPr>
        <w:spacing w:before="0" w:after="0"/>
        <w:ind w:left="120"/>
        <w:jc w:val="center"/>
      </w:pPr>
      <w:r>
        <w:rPr>
          <w:rFonts w:ascii="Times New Roman" w:hAnsi="Times New Roman"/>
          <w:b w:val="false"/>
          <w:i w:val="false"/>
          <w:color w:val="000000"/>
          <w:sz w:val="21"/>
        </w:rPr>
        <w:t>[Filed ARC 2949C</w:t>
      </w:r>
      <w:r>
        <w:rPr>
          <w:rFonts w:ascii="Times New Roman" w:hAnsi="Times New Roman"/>
          <w:b w:val="false"/>
          <w:i w:val="false"/>
          <w:color w:val="000000"/>
          <w:sz w:val="21"/>
        </w:rPr>
        <w:t xml:space="preserve"> (Notice ARC 2799C, IAB 11/9/16)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3440C</w:t>
      </w:r>
      <w:r>
        <w:rPr>
          <w:rFonts w:ascii="Times New Roman" w:hAnsi="Times New Roman"/>
          <w:b w:val="false"/>
          <w:i w:val="false"/>
          <w:color w:val="000000"/>
          <w:sz w:val="21"/>
        </w:rPr>
        <w:t xml:space="preserve"> (Notice ARC 2895C, IAB 1/18/17; </w:t>
      </w:r>
      <w:r>
        <w:rPr>
          <w:rFonts w:ascii="Times New Roman" w:hAnsi="Times New Roman"/>
          <w:b w:val="false"/>
          <w:i w:val="false"/>
          <w:color w:val="000000"/>
          <w:sz w:val="21"/>
        </w:rPr>
        <w:t>Amended Notice ARC 3251C, IAB 8/16/17)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3679C</w:t>
      </w:r>
      <w:r>
        <w:rPr>
          <w:rFonts w:ascii="Times New Roman" w:hAnsi="Times New Roman"/>
          <w:b w:val="false"/>
          <w:i w:val="false"/>
          <w:color w:val="000000"/>
          <w:sz w:val="21"/>
        </w:rPr>
        <w:t xml:space="preserve"> (Notice ARC 3520C, IAB 12/20/17)</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[Editorial change: IAC Supplement 5/9/18]</w:t>
      </w:r>
    </w:p>
    <w:p>
      <w:pPr>
        <w:spacing w:before="0" w:after="0"/>
        <w:ind w:left="120"/>
        <w:jc w:val="center"/>
      </w:pPr>
      <w:r>
        <w:rPr>
          <w:rFonts w:ascii="Times New Roman" w:hAnsi="Times New Roman"/>
          <w:b w:val="false"/>
          <w:i w:val="false"/>
          <w:color w:val="000000"/>
          <w:sz w:val="21"/>
        </w:rPr>
        <w:t>[Filed ARC 4335C</w:t>
      </w:r>
      <w:r>
        <w:rPr>
          <w:rFonts w:ascii="Times New Roman" w:hAnsi="Times New Roman"/>
          <w:b w:val="false"/>
          <w:i w:val="false"/>
          <w:color w:val="000000"/>
          <w:sz w:val="21"/>
        </w:rPr>
        <w:t xml:space="preserve"> (Notice ARC 4178C, IAB 12/19/18)</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5051C</w:t>
      </w:r>
      <w:r>
        <w:rPr>
          <w:rFonts w:ascii="Times New Roman" w:hAnsi="Times New Roman"/>
          <w:b w:val="false"/>
          <w:i w:val="false"/>
          <w:color w:val="000000"/>
          <w:sz w:val="21"/>
        </w:rPr>
        <w:t xml:space="preserve"> (Notice ARC 4961C, IAB 3/11/20)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5898C</w:t>
      </w:r>
      <w:r>
        <w:rPr>
          <w:rFonts w:ascii="Times New Roman" w:hAnsi="Times New Roman"/>
          <w:b w:val="false"/>
          <w:i w:val="false"/>
          <w:color w:val="000000"/>
          <w:sz w:val="21"/>
        </w:rPr>
        <w:t xml:space="preserve"> (Notice ARC 5678C, IAB 6/16/21)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6271C</w:t>
      </w:r>
      <w:r>
        <w:rPr>
          <w:rFonts w:ascii="Times New Roman" w:hAnsi="Times New Roman"/>
          <w:b w:val="false"/>
          <w:i w:val="false"/>
          <w:color w:val="000000"/>
          <w:sz w:val="21"/>
        </w:rPr>
        <w:t xml:space="preserve"> (Notice ARC 6144C, IAB 1/12/22)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6873C</w:t>
      </w:r>
      <w:r>
        <w:rPr>
          <w:rFonts w:ascii="Times New Roman" w:hAnsi="Times New Roman"/>
          <w:b w:val="false"/>
          <w:i w:val="false"/>
          <w:color w:val="000000"/>
          <w:sz w:val="21"/>
        </w:rPr>
        <w:t xml:space="preserve"> (Notice ARC 6631C, IAB 11/2/22)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7951C</w:t>
      </w:r>
      <w:r>
        <w:rPr>
          <w:rFonts w:ascii="Times New Roman" w:hAnsi="Times New Roman"/>
          <w:b w:val="false"/>
          <w:i w:val="false"/>
          <w:color w:val="000000"/>
          <w:sz w:val="21"/>
        </w:rPr>
        <w:t xml:space="preserve"> (Notice ARC 7228C, IAB 12/27/23)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7/23/25]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22.1(455B) [DEQ, 3.1] delayed by the Administrative Rules Review Committee 70 days from June 21, 1978. The Administrative Rules Review Committee at the August 15, 1978 meeting delayed 22.1 [DEQ, 3.1] under provisions of 67GA, SF244, §19. (See HJR 6, 1/22/79).</w:t>
      </w:r>
    </w:p>
    <w:p>
      <w:pPr>
        <w:pBdr>
          <w:bottom w:space="2"/>
        </w:pBdr>
        <w:spacing w:before="0" w:after="0"/>
        <w:ind w:left="120"/>
        <w:jc w:val="both"/>
      </w:pPr>
      <w:r>
        <w:rPr>
          <w:rFonts w:ascii="Times New Roman" w:hAnsi="Times New Roman"/>
          <w:b w:val="false"/>
          <w:i w:val="false"/>
          <w:color w:val="000000"/>
          <w:sz w:val="22"/>
        </w:rPr>
        <w:t>Effective date of 22.100(455B), definition of “12-month rolling period”; 22.200(455B); 22.201(1)</w:t>
      </w:r>
      <w:r>
        <w:rPr>
          <w:rFonts w:ascii="Times New Roman" w:hAnsi="Times New Roman"/>
          <w:b w:val="false"/>
          <w:i/>
          <w:color w:val="000000"/>
          <w:sz w:val="22"/>
        </w:rPr>
        <w:t>“a,” “b,”</w:t>
      </w:r>
      <w:r>
        <w:rPr>
          <w:rFonts w:ascii="Times New Roman" w:hAnsi="Times New Roman"/>
          <w:b w:val="false"/>
          <w:i w:val="false"/>
          <w:color w:val="000000"/>
          <w:sz w:val="22"/>
        </w:rPr>
        <w:t>; 22.201(2)</w:t>
      </w:r>
      <w:r>
        <w:rPr>
          <w:rFonts w:ascii="Times New Roman" w:hAnsi="Times New Roman"/>
          <w:b w:val="false"/>
          <w:i/>
          <w:color w:val="000000"/>
          <w:sz w:val="22"/>
        </w:rPr>
        <w:t>“a”</w:t>
      </w:r>
      <w:r>
        <w:rPr>
          <w:rFonts w:ascii="Times New Roman" w:hAnsi="Times New Roman"/>
          <w:b w:val="false"/>
          <w:i w:val="false"/>
          <w:color w:val="000000"/>
          <w:sz w:val="22"/>
        </w:rPr>
        <w:t>; 22.206(2)</w:t>
      </w:r>
      <w:r>
        <w:rPr>
          <w:rFonts w:ascii="Times New Roman" w:hAnsi="Times New Roman"/>
          <w:b w:val="false"/>
          <w:i/>
          <w:color w:val="000000"/>
          <w:sz w:val="22"/>
        </w:rPr>
        <w:t>“c,”</w:t>
      </w:r>
      <w:r>
        <w:rPr>
          <w:rFonts w:ascii="Times New Roman" w:hAnsi="Times New Roman"/>
          <w:b w:val="false"/>
          <w:i w:val="false"/>
          <w:color w:val="000000"/>
          <w:sz w:val="22"/>
        </w:rPr>
        <w:t xml:space="preserve"> delayed 70 days by the Administrative Rules Review Committee at its meeting held October 10, 1995; delay lifted by this Committee December 13, 1995, effective December 14, 1995.</w:t>
      </w:r>
    </w:p>
    <w:p>
      <w:pPr>
        <w:pBdr>
          <w:bottom w:space="2"/>
        </w:pBdr>
        <w:spacing w:before="0" w:after="0"/>
        <w:ind w:left="120"/>
        <w:jc w:val="both"/>
      </w:pPr>
      <w:r>
        <w:rPr>
          <w:rFonts w:ascii="Times New Roman" w:hAnsi="Times New Roman"/>
          <w:b w:val="false"/>
          <w:i w:val="false"/>
          <w:color w:val="000000"/>
          <w:sz w:val="22"/>
        </w:rPr>
        <w:t>Effective date of 22.300 delayed 70 days by the Administrative Rules Review Committee at its meeting held June 11, 1996; delay lifted by this Committee at its meeting held June 12, 1996, effective June 12, 1996.</w:t>
      </w:r>
    </w:p>
    <w:p>
      <w:pPr>
        <w:pBdr>
          <w:bottom w:space="2"/>
        </w:pBdr>
        <w:spacing w:before="0" w:after="0"/>
        <w:ind w:left="120"/>
        <w:jc w:val="both"/>
      </w:pPr>
      <w:r>
        <w:rPr>
          <w:rFonts w:ascii="Times New Roman" w:hAnsi="Times New Roman"/>
          <w:b w:val="false"/>
          <w:i w:val="false"/>
          <w:color w:val="000000"/>
          <w:sz w:val="22"/>
        </w:rPr>
        <w:t xml:space="preserve">Effective date of 22.1(2), unnumbered introductory paragraphs and paragraphs </w:t>
      </w:r>
      <w:r>
        <w:rPr>
          <w:rFonts w:ascii="Times New Roman" w:hAnsi="Times New Roman"/>
          <w:b w:val="false"/>
          <w:i/>
          <w:color w:val="000000"/>
          <w:sz w:val="22"/>
        </w:rPr>
        <w:t>“g”</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delayed 70 days by the Administrative Rules Review Committee at its meeting held March 9, 2001.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20.pdf" Type="http://schemas.openxmlformats.org/officeDocument/2006/relationships/hyperlink" Id="rId5"/>
    <Relationship TargetMode="External" Target="https://www.legis.iowa.gov/docs/iac/chapter/567.35.pdf" Type="http://schemas.openxmlformats.org/officeDocument/2006/relationships/hyperlink" Id="rId6"/>
    <Relationship TargetMode="External" Target="https://www.legis.iowa.gov/docs/iac/chapter/567.21.pdf" Type="http://schemas.openxmlformats.org/officeDocument/2006/relationships/hyperlink" Id="rId7"/>
    <Relationship TargetMode="External" Target="https://www.legis.iowa.gov/docs/iac/chapter/567.23.pdf" Type="http://schemas.openxmlformats.org/officeDocument/2006/relationships/hyperlink" Id="rId8"/>
    <Relationship TargetMode="External" Target="https://www.legis.iowa.gov/docs/ico/chapter/455B.101.pdf" Type="http://schemas.openxmlformats.org/officeDocument/2006/relationships/hyperlink" Id="rId9"/>
    <Relationship TargetMode="External" Target="https://www.legis.iowa.gov/docs/ico/chapter/455B.131.pdf" Type="http://schemas.openxmlformats.org/officeDocument/2006/relationships/hyperlink" Id="rId10"/>
    <Relationship TargetMode="External" Target="https://www.legis.iowa.gov/docs/ico/chapter/455B.411.pdf" Type="http://schemas.openxmlformats.org/officeDocument/2006/relationships/hyperlink" Id="rId11"/>
    <Relationship TargetMode="External" Target="https://www.legis.iowa.gov/docs/iac/chapter/567.20.pdf" Type="http://schemas.openxmlformats.org/officeDocument/2006/relationships/hyperlink" Id="rId12"/>
    <Relationship TargetMode="External" Target="https://www.legis.iowa.gov/docs/iac/chapter/567.35.pdf" Type="http://schemas.openxmlformats.org/officeDocument/2006/relationships/hyperlink" Id="rId13"/>
    <Relationship TargetMode="External" Target="https://www.legis.iowa.gov/docs/iac/rule/567.22.10.pdf" Type="http://schemas.openxmlformats.org/officeDocument/2006/relationships/hyperlink" Id="rId14"/>
    <Relationship TargetMode="External" Target="https://www.legis.iowa.gov/docs/iac/chapter/567.22.pdf" Type="http://schemas.openxmlformats.org/officeDocument/2006/relationships/hyperlink" Id="rId15"/>
    <Relationship TargetMode="External" Target="https://www.legis.iowa.gov/docs/iac/chapter/567.20.pdf" Type="http://schemas.openxmlformats.org/officeDocument/2006/relationships/hyperlink" Id="rId16"/>
    <Relationship TargetMode="External" Target="https://www.legis.iowa.gov/docs/iac/chapter/567.35.pdf" Type="http://schemas.openxmlformats.org/officeDocument/2006/relationships/hyperlink" Id="rId17"/>
    <Relationship TargetMode="External" Target="https://www.legis.iowa.gov/docs/iac/chapter/567.20.pdf" Type="http://schemas.openxmlformats.org/officeDocument/2006/relationships/hyperlink" Id="rId18"/>
    <Relationship TargetMode="External" Target="https://www.legis.iowa.gov/docs/iac/chapter/567.35.pdf" Type="http://schemas.openxmlformats.org/officeDocument/2006/relationships/hyperlink" Id="rId19"/>
    <Relationship TargetMode="External" Target="https://www.legis.iowa.gov/docs/iac/rule/567.21.1.pdf" Type="http://schemas.openxmlformats.org/officeDocument/2006/relationships/hyperlink" Id="rId20"/>
    <Relationship TargetMode="External" Target="https://www.legis.iowa.gov/docs/iac/rule/567.21.1.pdf" Type="http://schemas.openxmlformats.org/officeDocument/2006/relationships/hyperlink" Id="rId21"/>
    <Relationship TargetMode="External" Target="https://www.legis.iowa.gov/docs/iac/rule/567.22.10.pdf" Type="http://schemas.openxmlformats.org/officeDocument/2006/relationships/hyperlink" Id="rId22"/>
    <Relationship TargetMode="External" Target="https://www.legis.iowa.gov/docs/iac/rule/567.21.1.pdf" Type="http://schemas.openxmlformats.org/officeDocument/2006/relationships/hyperlink" Id="rId23"/>
    <Relationship TargetMode="External" Target="https://www.legis.iowa.gov/docs/iac/rule/567.22.10.pdf" Type="http://schemas.openxmlformats.org/officeDocument/2006/relationships/hyperlink" Id="rId24"/>
    <Relationship TargetMode="External" Target="https://www.legis.iowa.gov/docs/iac/rule/567.31.3.pdf" Type="http://schemas.openxmlformats.org/officeDocument/2006/relationships/hyperlink" Id="rId25"/>
    <Relationship TargetMode="External" Target="https://www.legis.iowa.gov/docs/iac/rule/567.33.3.pdf" Type="http://schemas.openxmlformats.org/officeDocument/2006/relationships/hyperlink" Id="rId26"/>
    <Relationship TargetMode="External" Target="https://www.legis.iowa.gov/docs/iac/rule/567.22.1.pdf" Type="http://schemas.openxmlformats.org/officeDocument/2006/relationships/hyperlink" Id="rId27"/>
    <Relationship TargetMode="External" Target="https://www.legis.iowa.gov/docs/iac/rule/567.22.1.pdf" Type="http://schemas.openxmlformats.org/officeDocument/2006/relationships/hyperlink" Id="rId28"/>
    <Relationship TargetMode="External" Target="https://www.legis.iowa.gov/docs/iac/rule/567.23.1.pdf" Type="http://schemas.openxmlformats.org/officeDocument/2006/relationships/hyperlink" Id="rId29"/>
    <Relationship TargetMode="External" Target="https://www.legis.iowa.gov/docs/iac/rule/567.22.1.pdf" Type="http://schemas.openxmlformats.org/officeDocument/2006/relationships/hyperlink" Id="rId30"/>
    <Relationship TargetMode="External" Target="https://www.legis.iowa.gov/docs/iac/rule/567.22.1.pdf" Type="http://schemas.openxmlformats.org/officeDocument/2006/relationships/hyperlink" Id="rId31"/>
    <Relationship TargetMode="External" Target="https://www.legis.iowa.gov/docs/iac/chapter/567.33.pdf" Type="http://schemas.openxmlformats.org/officeDocument/2006/relationships/hyperlink" Id="rId32"/>
    <Relationship TargetMode="External" Target="https://www.legis.iowa.gov/docs/iac/rule/567.23.1.pdf" Type="http://schemas.openxmlformats.org/officeDocument/2006/relationships/hyperlink" Id="rId33"/>
    <Relationship TargetMode="External" Target="https://www.legis.iowa.gov/docs/iac/rule/567.23.1.pdf" Type="http://schemas.openxmlformats.org/officeDocument/2006/relationships/hyperlink" Id="rId34"/>
    <Relationship TargetMode="External" Target="https://www.legis.iowa.gov/docs/iac/rule/567.23.1.pdf" Type="http://schemas.openxmlformats.org/officeDocument/2006/relationships/hyperlink" Id="rId35"/>
    <Relationship TargetMode="External" Target="https://www.legis.iowa.gov/docs/iac/rule/567.23.1.pdf" Type="http://schemas.openxmlformats.org/officeDocument/2006/relationships/hyperlink" Id="rId36"/>
    <Relationship TargetMode="External" Target="https://www.legis.iowa.gov/docs/iac/chapter/567.31.pdf" Type="http://schemas.openxmlformats.org/officeDocument/2006/relationships/hyperlink" Id="rId37"/>
    <Relationship TargetMode="External" Target="https://www.legis.iowa.gov/docs/iac/rule/567.23.1.pdf" Type="http://schemas.openxmlformats.org/officeDocument/2006/relationships/hyperlink" Id="rId38"/>
    <Relationship TargetMode="External" Target="https://www.legis.iowa.gov/docs/iac/rule/567.22.3.pdf" Type="http://schemas.openxmlformats.org/officeDocument/2006/relationships/hyperlink" Id="rId39"/>
    <Relationship TargetMode="External" Target="https://www.legis.iowa.gov/docs/iac/rule/567.22.10.pdf" Type="http://schemas.openxmlformats.org/officeDocument/2006/relationships/hyperlink" Id="rId40"/>
    <Relationship TargetMode="External" Target="https://www.legis.iowa.gov/docs/iac/rule/567.22.10.pdf" Type="http://schemas.openxmlformats.org/officeDocument/2006/relationships/hyperlink" Id="rId41"/>
    <Relationship TargetMode="External" Target="https://www.legis.iowa.gov/docs/iac/rule/567.22.1.pdf" Type="http://schemas.openxmlformats.org/officeDocument/2006/relationships/hyperlink" Id="rId42"/>
    <Relationship TargetMode="External" Target="https://www.legis.iowa.gov/docs/iac/rule/567.22.8.pdf" Type="http://schemas.openxmlformats.org/officeDocument/2006/relationships/hyperlink" Id="rId43"/>
    <Relationship TargetMode="External" Target="https://www.legis.iowa.gov/docs/iac/chapter/567.31.pdf" Type="http://schemas.openxmlformats.org/officeDocument/2006/relationships/hyperlink" Id="rId44"/>
    <Relationship TargetMode="External" Target="https://www.legis.iowa.gov/docs/iac/chapter/567.33.pdf" Type="http://schemas.openxmlformats.org/officeDocument/2006/relationships/hyperlink" Id="rId45"/>
    <Relationship TargetMode="External" Target="https://www.legis.iowa.gov/docs/iac/rule/567.22.1.pdf" Type="http://schemas.openxmlformats.org/officeDocument/2006/relationships/hyperlink" Id="rId46"/>
    <Relationship TargetMode="External" Target="https://www.legis.iowa.gov/docs/iac/rule/567.22.1.pdf" Type="http://schemas.openxmlformats.org/officeDocument/2006/relationships/hyperlink" Id="rId47"/>
    <Relationship TargetMode="External" Target="https://www.legis.iowa.gov/docs/iac/rule/567.22.1.pdf" Type="http://schemas.openxmlformats.org/officeDocument/2006/relationships/hyperlink" Id="rId48"/>
    <Relationship TargetMode="External" Target="https://www.legis.iowa.gov/docs/iac/rule/567.22.1.pdf" Type="http://schemas.openxmlformats.org/officeDocument/2006/relationships/hyperlink" Id="rId49"/>
    <Relationship TargetMode="External" Target="https://www.legis.iowa.gov/docs/iac/rule/567.22.1.pdf" Type="http://schemas.openxmlformats.org/officeDocument/2006/relationships/hyperlink" Id="rId50"/>
    <Relationship TargetMode="External" Target="https://www.legis.iowa.gov/docs/iac/rule/567.22.1.pdf" Type="http://schemas.openxmlformats.org/officeDocument/2006/relationships/hyperlink" Id="rId51"/>
    <Relationship TargetMode="External" Target="https://www.legis.iowa.gov/docs/ico/chapter/198.3.pdf" Type="http://schemas.openxmlformats.org/officeDocument/2006/relationships/hyperlink" Id="rId52"/>
    <Relationship TargetMode="External" Target="https://www.legis.iowa.gov/docs/ico/chapter/172D.1.pdf" Type="http://schemas.openxmlformats.org/officeDocument/2006/relationships/hyperlink" Id="rId53"/>
    <Relationship TargetMode="External" Target="https://www.legis.iowa.gov/docs/iac/rule/567.22.1.pdf" Type="http://schemas.openxmlformats.org/officeDocument/2006/relationships/hyperlink" Id="rId54"/>
    <Relationship TargetMode="External" Target="https://www.legis.iowa.gov/docs/iac/rule/567.21.1.pdf" Type="http://schemas.openxmlformats.org/officeDocument/2006/relationships/hyperlink" Id="rId55"/>
    <Relationship TargetMode="External" Target="https://www.legis.iowa.gov/docs/iac/rule/567.24.100.pdf" Type="http://schemas.openxmlformats.org/officeDocument/2006/relationships/hyperlink" Id="rId56"/>
    <Relationship TargetMode="External" Target="https://www.legis.iowa.gov/docs/iac/chapter/567.31.pdf" Type="http://schemas.openxmlformats.org/officeDocument/2006/relationships/hyperlink" Id="rId57"/>
    <Relationship TargetMode="External" Target="https://www.legis.iowa.gov/docs/iac/chapter/567.33.pdf" Type="http://schemas.openxmlformats.org/officeDocument/2006/relationships/hyperlink" Id="rId58"/>
    <Relationship TargetMode="External" Target="https://www.legis.iowa.gov/docs/iac/rule/567.24.100.pdf" Type="http://schemas.openxmlformats.org/officeDocument/2006/relationships/hyperlink" Id="rId59"/>
    <Relationship TargetMode="External" Target="https://www.legis.iowa.gov/docs/iac/rule/567.33.3.pdf" Type="http://schemas.openxmlformats.org/officeDocument/2006/relationships/hyperlink" Id="rId60"/>
    <Relationship TargetMode="External" Target="https://www.legis.iowa.gov/docs/iac/rule/567.22.11.pdf" Type="http://schemas.openxmlformats.org/officeDocument/2006/relationships/hyperlink" Id="rId61"/>
    <Relationship TargetMode="External" Target="https://www.legis.iowa.gov/docs/iac/rule/567.24.100.pdf" Type="http://schemas.openxmlformats.org/officeDocument/2006/relationships/hyperlink" Id="rId62"/>
    <Relationship TargetMode="External" Target="https://www.legis.iowa.gov/docs/iac/rule/567.23.1.pdf" Type="http://schemas.openxmlformats.org/officeDocument/2006/relationships/hyperlink" Id="rId63"/>
    <Relationship TargetMode="External" Target="https://www.legis.iowa.gov/docs/ico/chapter/455B.161.pdf" Type="http://schemas.openxmlformats.org/officeDocument/2006/relationships/hyperlink" Id="rId64"/>
    <Relationship TargetMode="External" Target="https://www.legis.iowa.gov/docs/iac/rule/567.24.100.pdf" Type="http://schemas.openxmlformats.org/officeDocument/2006/relationships/hyperlink" Id="rId65"/>
    <Relationship TargetMode="External" Target="https://www.legis.iowa.gov/docs/iac/rule/567.22.1.pdf" Type="http://schemas.openxmlformats.org/officeDocument/2006/relationships/hyperlink" Id="rId66"/>
    <Relationship TargetMode="External" Target="https://www.legis.iowa.gov/docs/iac/rule/567.22.1.pdf" Type="http://schemas.openxmlformats.org/officeDocument/2006/relationships/hyperlink" Id="rId67"/>
    <Relationship TargetMode="External" Target="https://www.legis.iowa.gov/docs/iac/rule/567.24.100.pdf" Type="http://schemas.openxmlformats.org/officeDocument/2006/relationships/hyperlink" Id="rId68"/>
    <Relationship TargetMode="External" Target="https://www.legis.iowa.gov/docs/iac/rule/567.24.100.pdf" Type="http://schemas.openxmlformats.org/officeDocument/2006/relationships/hyperlink" Id="rId69"/>
    <Relationship TargetMode="External" Target="https://www.legis.iowa.gov/docs/iac/rule/567.23.1.pdf" Type="http://schemas.openxmlformats.org/officeDocument/2006/relationships/hyperlink" Id="rId70"/>
    <Relationship TargetMode="External" Target="https://www.legis.iowa.gov/docs/iac/rule/567.23.1.pdf" Type="http://schemas.openxmlformats.org/officeDocument/2006/relationships/hyperlink" Id="rId71"/>
    <Relationship TargetMode="External" Target="https://www.legis.iowa.gov/docs/iac/rule/567.24.100.pdf" Type="http://schemas.openxmlformats.org/officeDocument/2006/relationships/hyperlink" Id="rId72"/>
    <Relationship TargetMode="External" Target="https://www.legis.iowa.gov/docs/iac/rule/567.22.4.pdf" Type="http://schemas.openxmlformats.org/officeDocument/2006/relationships/hyperlink" Id="rId73"/>
    <Relationship TargetMode="External" Target="https://www.legis.iowa.gov/docs/iac/rule/567.24.101.pdf" Type="http://schemas.openxmlformats.org/officeDocument/2006/relationships/hyperlink" Id="rId74"/>
    <Relationship TargetMode="External" Target="https://www.legis.iowa.gov/docs/iac/rule/567.22.1.pdf" Type="http://schemas.openxmlformats.org/officeDocument/2006/relationships/hyperlink" Id="rId75"/>
    <Relationship TargetMode="External" Target="https://www.legis.iowa.gov/docs/iac/rule/567.22.1.pdf" Type="http://schemas.openxmlformats.org/officeDocument/2006/relationships/hyperlink" Id="rId76"/>
    <Relationship TargetMode="External" Target="https://www.legis.iowa.gov/docs/iac/rule/567.22.1.pdf" Type="http://schemas.openxmlformats.org/officeDocument/2006/relationships/hyperlink" Id="rId77"/>
    <Relationship TargetMode="External" Target="https://www.legis.iowa.gov/docs/iac/rule/567.22.1.pdf" Type="http://schemas.openxmlformats.org/officeDocument/2006/relationships/hyperlink" Id="rId78"/>
    <Relationship TargetMode="External" Target="https://www.legis.iowa.gov/docs/iac/rule/567.22.1.pdf" Type="http://schemas.openxmlformats.org/officeDocument/2006/relationships/hyperlink" Id="rId79"/>
    <Relationship TargetMode="External" Target="https://www.legis.iowa.gov/docs/iac/rule/567.22.1.pdf" Type="http://schemas.openxmlformats.org/officeDocument/2006/relationships/hyperlink" Id="rId80"/>
    <Relationship TargetMode="External" Target="https://www.legis.iowa.gov/docs/iac/rule/567.22.1.pdf" Type="http://schemas.openxmlformats.org/officeDocument/2006/relationships/hyperlink" Id="rId81"/>
    <Relationship TargetMode="External" Target="https://www.legis.iowa.gov/docs/iac/rule/567.24.100.pdf" Type="http://schemas.openxmlformats.org/officeDocument/2006/relationships/hyperlink" Id="rId82"/>
    <Relationship TargetMode="External" Target="https://www.legis.iowa.gov/docs/iac/rule/567.24.100.pdf" Type="http://schemas.openxmlformats.org/officeDocument/2006/relationships/hyperlink" Id="rId83"/>
    <Relationship TargetMode="External" Target="https://www.legis.iowa.gov/docs/iac/rule/567.24.100.pdf" Type="http://schemas.openxmlformats.org/officeDocument/2006/relationships/hyperlink" Id="rId84"/>
    <Relationship TargetMode="External" Target="https://www.legis.iowa.gov/docs/iac/rule/567.23.1.pdf" Type="http://schemas.openxmlformats.org/officeDocument/2006/relationships/hyperlink" Id="rId85"/>
    <Relationship TargetMode="External" Target="https://www.legis.iowa.gov/docs/iac/rule/567.23.1.pdf" Type="http://schemas.openxmlformats.org/officeDocument/2006/relationships/hyperlink" Id="rId86"/>
    <Relationship TargetMode="External" Target="https://www.legis.iowa.gov/docs/iac/rule/567.23.1.pdf" Type="http://schemas.openxmlformats.org/officeDocument/2006/relationships/hyperlink" Id="rId87"/>
    <Relationship TargetMode="External" Target="https://www.legis.iowa.gov/docs/iac/rule/567.22.1.pdf" Type="http://schemas.openxmlformats.org/officeDocument/2006/relationships/hyperlink" Id="rId88"/>
    <Relationship TargetMode="External" Target="https://www.legis.iowa.gov/docs/iac/rule/567.22.1.pdf" Type="http://schemas.openxmlformats.org/officeDocument/2006/relationships/hyperlink" Id="rId89"/>
    <Relationship TargetMode="External" Target="https://www.legis.iowa.gov/docs/iac/rule/567.22.1.pdf" Type="http://schemas.openxmlformats.org/officeDocument/2006/relationships/hyperlink" Id="rId90"/>
    <Relationship TargetMode="External" Target="https://www.legis.iowa.gov/docs/iac/rule/567.2.1.pdf" Type="http://schemas.openxmlformats.org/officeDocument/2006/relationships/hyperlink" Id="rId91"/>
    <Relationship TargetMode="External" Target="https://www.legis.iowa.gov/docs/iac/rule/567.24.100.pdf" Type="http://schemas.openxmlformats.org/officeDocument/2006/relationships/hyperlink" Id="rId92"/>
    <Relationship TargetMode="External" Target="https://www.legis.iowa.gov/docs/iac/rule/567.22.1.pdf" Type="http://schemas.openxmlformats.org/officeDocument/2006/relationships/hyperlink" Id="rId93"/>
    <Relationship TargetMode="External" Target="https://www.legis.iowa.gov/docs/iac/rule/567.22.4.pdf" Type="http://schemas.openxmlformats.org/officeDocument/2006/relationships/hyperlink" Id="rId94"/>
    <Relationship TargetMode="External" Target="https://www.legis.iowa.gov/docs/iac/rule/567.24.101.pdf" Type="http://schemas.openxmlformats.org/officeDocument/2006/relationships/hyperlink" Id="rId95"/>
    <Relationship TargetMode="External" Target="https://www.legis.iowa.gov/docs/iac/chapter/567.211.pdf" Type="http://schemas.openxmlformats.org/officeDocument/2006/relationships/hyperlink" Id="rId96"/>
    <Relationship TargetMode="External" Target="https://www.legis.iowa.gov/docs/iac/rule/567.24.100.pdf" Type="http://schemas.openxmlformats.org/officeDocument/2006/relationships/hyperlink" Id="rId97"/>
    <Relationship TargetMode="External" Target="https://www.legis.iowa.gov/docs/iac/rule/567.22.1.pdf" Type="http://schemas.openxmlformats.org/officeDocument/2006/relationships/hyperlink" Id="rId98"/>
    <Relationship TargetMode="External" Target="https://www.legis.iowa.gov/docs/iac/rule/567.22.10.pdf" Type="http://schemas.openxmlformats.org/officeDocument/2006/relationships/hyperlink" Id="rId99"/>
    <Relationship TargetMode="External" Target="https://www.legis.iowa.gov/docs/iac/chapter/567.22.pdf" Type="http://schemas.openxmlformats.org/officeDocument/2006/relationships/hyperlink" Id="rId100"/>
    <Relationship TargetMode="External" Target="https://www.legis.iowa.gov/docs/iac/chapter/567.65.pdf" Type="http://schemas.openxmlformats.org/officeDocument/2006/relationships/hyperlink" Id="rId101"/>
    <Relationship TargetMode="External" Target="https://www.legis.iowa.gov/docs/iac/chapter/567.30.pdf" Type="http://schemas.openxmlformats.org/officeDocument/2006/relationships/hyperlink" Id="rId102"/>
    <Relationship TargetMode="External" Target="https://www.legis.iowa.gov/docs/ico/chapter/542B.1.pdf" Type="http://schemas.openxmlformats.org/officeDocument/2006/relationships/hyperlink" Id="rId103"/>
    <Relationship TargetMode="External" Target="https://www.legis.iowa.gov/docs/ico/chapter/542B.26.pdf" Type="http://schemas.openxmlformats.org/officeDocument/2006/relationships/hyperlink" Id="rId104"/>
    <Relationship TargetMode="External" Target="https://www.legis.iowa.gov/docs/iac/rule/567.22.4.pdf" Type="http://schemas.openxmlformats.org/officeDocument/2006/relationships/hyperlink" Id="rId105"/>
    <Relationship TargetMode="External" Target="https://www.legis.iowa.gov/docs/iac/rule/567.22.5.pdf" Type="http://schemas.openxmlformats.org/officeDocument/2006/relationships/hyperlink" Id="rId106"/>
    <Relationship TargetMode="External" Target="https://www.legis.iowa.gov/docs/iac/rule/567.31.3.pdf" Type="http://schemas.openxmlformats.org/officeDocument/2006/relationships/hyperlink" Id="rId107"/>
    <Relationship TargetMode="External" Target="https://www.legis.iowa.gov/docs/iac/rule/567.33.3.pdf" Type="http://schemas.openxmlformats.org/officeDocument/2006/relationships/hyperlink" Id="rId108"/>
    <Relationship TargetMode="External" Target="https://www.legis.iowa.gov/docs/iac/chapter/567.30.pdf" Type="http://schemas.openxmlformats.org/officeDocument/2006/relationships/hyperlink" Id="rId109"/>
    <Relationship TargetMode="External" Target="https://www.legis.iowa.gov/docs/iac/rule/567.22.1.pdf" Type="http://schemas.openxmlformats.org/officeDocument/2006/relationships/hyperlink" Id="rId110"/>
    <Relationship TargetMode="External" Target="https://www.legis.iowa.gov/docs/iac/rule/567.22.4.pdf" Type="http://schemas.openxmlformats.org/officeDocument/2006/relationships/hyperlink" Id="rId111"/>
    <Relationship TargetMode="External" Target="https://www.legis.iowa.gov/docs/iac/rule/567.22.5.pdf" Type="http://schemas.openxmlformats.org/officeDocument/2006/relationships/hyperlink" Id="rId112"/>
    <Relationship TargetMode="External" Target="https://www.legis.iowa.gov/docs/iac/rule/567.22.8.pdf" Type="http://schemas.openxmlformats.org/officeDocument/2006/relationships/hyperlink" Id="rId113"/>
    <Relationship TargetMode="External" Target="https://www.legis.iowa.gov/docs/iac/rule/567.22.10.pdf" Type="http://schemas.openxmlformats.org/officeDocument/2006/relationships/hyperlink" Id="rId114"/>
    <Relationship TargetMode="External" Target="https://www.legis.iowa.gov/docs/iac/chapter/567.31.pdf" Type="http://schemas.openxmlformats.org/officeDocument/2006/relationships/hyperlink" Id="rId115"/>
    <Relationship TargetMode="External" Target="https://www.legis.iowa.gov/docs/iac/chapter/567.33.pdf" Type="http://schemas.openxmlformats.org/officeDocument/2006/relationships/hyperlink" Id="rId116"/>
    <Relationship TargetMode="External" Target="https://www.legis.iowa.gov/docs/iac/chapter/567.30.pdf" Type="http://schemas.openxmlformats.org/officeDocument/2006/relationships/hyperlink" Id="rId117"/>
    <Relationship TargetMode="External" Target="https://www.legis.iowa.gov/docs/iac/chapter/567.65.pdf" Type="http://schemas.openxmlformats.org/officeDocument/2006/relationships/hyperlink" Id="rId118"/>
    <Relationship TargetMode="External" Target="https://www.legis.iowa.gov/docs/iac/rule/567.60.2.pdf" Type="http://schemas.openxmlformats.org/officeDocument/2006/relationships/hyperlink" Id="rId119"/>
    <Relationship TargetMode="External" Target="https://www.legis.iowa.gov/docs/ico/chapter/476A.pdf" Type="http://schemas.openxmlformats.org/officeDocument/2006/relationships/hyperlink" Id="rId120"/>
    <Relationship TargetMode="External" Target="https://www.legis.iowa.gov/docs/iac/rule/567.22.11.pdf" Type="http://schemas.openxmlformats.org/officeDocument/2006/relationships/hyperlink" Id="rId121"/>
    <Relationship TargetMode="External" Target="https://www.legis.iowa.gov/docs/iac/rule/567.23.1.pdf" Type="http://schemas.openxmlformats.org/officeDocument/2006/relationships/hyperlink" Id="rId122"/>
    <Relationship TargetMode="External" Target="https://www.legis.iowa.gov/docs/iac/rule/567.23.5.pdf" Type="http://schemas.openxmlformats.org/officeDocument/2006/relationships/hyperlink" Id="rId123"/>
    <Relationship TargetMode="External" Target="https://www.legis.iowa.gov/docs/iac/chapter/567.65.pdf" Type="http://schemas.openxmlformats.org/officeDocument/2006/relationships/hyperlink" Id="rId124"/>
    <Relationship TargetMode="External" Target="https://www.legis.iowa.gov/docs/iac/rule/567.22.3.pdf" Type="http://schemas.openxmlformats.org/officeDocument/2006/relationships/hyperlink" Id="rId125"/>
    <Relationship TargetMode="External" Target="https://www.legis.iowa.gov/docs/iac/rule/567.24.100.pdf" Type="http://schemas.openxmlformats.org/officeDocument/2006/relationships/hyperlink" Id="rId126"/>
    <Relationship TargetMode="External" Target="https://www.legis.iowa.gov/docs/iac/rule/567.22.1.pdf" Type="http://schemas.openxmlformats.org/officeDocument/2006/relationships/hyperlink" Id="rId127"/>
    <Relationship TargetMode="External" Target="https://www.legis.iowa.gov/docs/iac/chapter/567.33.pdf" Type="http://schemas.openxmlformats.org/officeDocument/2006/relationships/hyperlink" Id="rId128"/>
    <Relationship TargetMode="External" Target="https://www.legis.iowa.gov/docs/iac/chapter/567.30.pdf" Type="http://schemas.openxmlformats.org/officeDocument/2006/relationships/hyperlink" Id="rId129"/>
    <Relationship TargetMode="External" Target="https://www.legis.iowa.gov/docs/iac/rule/567.31.20.pdf" Type="http://schemas.openxmlformats.org/officeDocument/2006/relationships/hyperlink" Id="rId130"/>
    <Relationship TargetMode="External" Target="https://www.legis.iowa.gov/docs/iac/chapter/567.30.pdf" Type="http://schemas.openxmlformats.org/officeDocument/2006/relationships/hyperlink" Id="rId131"/>
    <Relationship TargetMode="External" Target="https://www.legis.iowa.gov/docs/iac/rule/567.23.3.pdf" Type="http://schemas.openxmlformats.org/officeDocument/2006/relationships/hyperlink" Id="rId132"/>
    <Relationship TargetMode="External" Target="https://www.legis.iowa.gov/docs/iac/rule/567.23.3.pdf" Type="http://schemas.openxmlformats.org/officeDocument/2006/relationships/hyperlink" Id="rId133"/>
    <Relationship TargetMode="External" Target="https://www.legis.iowa.gov/docs/iac/rule/567.23.3.pdf" Type="http://schemas.openxmlformats.org/officeDocument/2006/relationships/hyperlink" Id="rId134"/>
    <Relationship TargetMode="External" Target="https://www.legis.iowa.gov/docs/iac/rule/567.23.3.pdf" Type="http://schemas.openxmlformats.org/officeDocument/2006/relationships/hyperlink" Id="rId135"/>
    <Relationship TargetMode="External" Target="https://www.legis.iowa.gov/docs/iac/rule/567.23.4.pdf" Type="http://schemas.openxmlformats.org/officeDocument/2006/relationships/hyperlink" Id="rId136"/>
    <Relationship TargetMode="External" Target="https://www.legis.iowa.gov/docs/iac/rule/567.23.4.pdf" Type="http://schemas.openxmlformats.org/officeDocument/2006/relationships/hyperlink" Id="rId137"/>
    <Relationship TargetMode="External" Target="https://www.legis.iowa.gov/docs/iac/rule/567.23.4.pdf" Type="http://schemas.openxmlformats.org/officeDocument/2006/relationships/hyperlink" Id="rId138"/>
    <Relationship TargetMode="External" Target="https://www.legis.iowa.gov/docs/iac/rule/567.23.1.pdf" Type="http://schemas.openxmlformats.org/officeDocument/2006/relationships/hyperlink" Id="rId139"/>
    <Relationship TargetMode="External" Target="https://www.legis.iowa.gov/docs/iac/rule/567.24.100.pdf" Type="http://schemas.openxmlformats.org/officeDocument/2006/relationships/hyperlink" Id="rId140"/>
    <Relationship TargetMode="External" Target="https://www.legis.iowa.gov/docs/iac/chapter/567.30.pdf" Type="http://schemas.openxmlformats.org/officeDocument/2006/relationships/hyperlink" Id="rId141"/>
    <Relationship TargetMode="External" Target="https://www.legis.iowa.gov/docs/iac/chapter/567.22.pdf" Type="http://schemas.openxmlformats.org/officeDocument/2006/relationships/hyperlink" Id="rId142"/>
    <Relationship TargetMode="External" Target="https://www.legis.iowa.gov/docs/iac/rule/567.22.8.pdf" Type="http://schemas.openxmlformats.org/officeDocument/2006/relationships/hyperlink" Id="rId143"/>
    <Relationship TargetMode="External" Target="https://www.legis.iowa.gov/docs/iac/rule/567.22.1.pdf" Type="http://schemas.openxmlformats.org/officeDocument/2006/relationships/hyperlink" Id="rId144"/>
    <Relationship TargetMode="External" Target="https://www.legis.iowa.gov/docs/iac/rule/567.22.1.pdf" Type="http://schemas.openxmlformats.org/officeDocument/2006/relationships/hyperlink" Id="rId145"/>
    <Relationship TargetMode="External" Target="https://www.legis.iowa.gov/docs/iac/rule/567.22.8.pdf" Type="http://schemas.openxmlformats.org/officeDocument/2006/relationships/hyperlink" Id="rId146"/>
    <Relationship TargetMode="External" Target="https://www.legis.iowa.gov/docs/iac/chapter/567.22.pdf" Type="http://schemas.openxmlformats.org/officeDocument/2006/relationships/hyperlink" Id="rId147"/>
    <Relationship TargetMode="External" Target="https://www.legis.iowa.gov/docs/iac/rule/567.22.8.pdf" Type="http://schemas.openxmlformats.org/officeDocument/2006/relationships/hyperlink" Id="rId148"/>
    <Relationship TargetMode="External" Target="https://www.legis.iowa.gov/docs/iac/rule/567.22.1.pdf" Type="http://schemas.openxmlformats.org/officeDocument/2006/relationships/hyperlink" Id="rId149"/>
    <Relationship TargetMode="External" Target="https://www.legis.iowa.gov/docs/iac/rule/567.22.1.pdf" Type="http://schemas.openxmlformats.org/officeDocument/2006/relationships/hyperlink" Id="rId150"/>
    <Relationship TargetMode="External" Target="https://www.legis.iowa.gov/docs/iac/rule/567.22.8.pdf" Type="http://schemas.openxmlformats.org/officeDocument/2006/relationships/hyperlink" Id="rId151"/>
    <Relationship TargetMode="External" Target="https://www.legis.iowa.gov/docs/iac/rule/567.22.1.pdf" Type="http://schemas.openxmlformats.org/officeDocument/2006/relationships/hyperlink" Id="rId152"/>
    <Relationship TargetMode="External" Target="https://www.legis.iowa.gov/docs/iac/rule/567.22.1.pdf" Type="http://schemas.openxmlformats.org/officeDocument/2006/relationships/hyperlink" Id="rId153"/>
    <Relationship TargetMode="External" Target="https://www.legis.iowa.gov/docs/iac/rule/567.22.8.pdf" Type="http://schemas.openxmlformats.org/officeDocument/2006/relationships/hyperlink" Id="rId154"/>
    <Relationship TargetMode="External" Target="https://www.legis.iowa.gov/docs/iac/rule/567.23.4.pdf" Type="http://schemas.openxmlformats.org/officeDocument/2006/relationships/hyperlink" Id="rId155"/>
    <Relationship TargetMode="External" Target="https://www.legis.iowa.gov/docs/iac/rule/567.22.9.pdf" Type="http://schemas.openxmlformats.org/officeDocument/2006/relationships/hyperlink" Id="rId156"/>
    <Relationship TargetMode="External" Target="https://www.legis.iowa.gov/docs/iac/rule/567.22.9.pdf" Type="http://schemas.openxmlformats.org/officeDocument/2006/relationships/hyperlink" Id="rId157"/>
    <Relationship TargetMode="External" Target="https://www.legis.iowa.gov/docs/iac/rule/567.22.9.pdf" Type="http://schemas.openxmlformats.org/officeDocument/2006/relationships/hyperlink" Id="rId158"/>
    <Relationship TargetMode="External" Target="https://www.legis.iowa.gov/docs/iac/rule/567.22.9.pdf" Type="http://schemas.openxmlformats.org/officeDocument/2006/relationships/hyperlink" Id="rId159"/>
    <Relationship TargetMode="External" Target="https://www.legis.iowa.gov/docs/iac/rule/567.22.10.pdf" Type="http://schemas.openxmlformats.org/officeDocument/2006/relationships/hyperlink" Id="rId160"/>
    <Relationship TargetMode="External" Target="https://www.legis.iowa.gov/docs/iac/rule/567.22.1.pdf" Type="http://schemas.openxmlformats.org/officeDocument/2006/relationships/hyperlink" Id="rId161"/>
    <Relationship TargetMode="External" Target="https://www.legis.iowa.gov/docs/iac/chapter/567.23.pdf" Type="http://schemas.openxmlformats.org/officeDocument/2006/relationships/hyperlink" Id="rId162"/>
    <Relationship TargetMode="External" Target="https://www.legis.iowa.gov/docs/iac/rule/567.23.1.pdf" Type="http://schemas.openxmlformats.org/officeDocument/2006/relationships/hyperlink" Id="rId163"/>
    <Relationship TargetMode="External" Target="https://www.legis.iowa.gov/docs/iac/chapter/567.30.pdf" Type="http://schemas.openxmlformats.org/officeDocument/2006/relationships/hyperlink" Id="rId164"/>
    <Relationship TargetMode="External" Target="https://www.legis.iowa.gov/docs/iac/rule/567.22.10.pdf" Type="http://schemas.openxmlformats.org/officeDocument/2006/relationships/hyperlink" Id="rId165"/>
    <Relationship TargetMode="External" Target="https://www.legis.iowa.gov/docs/iac/rule/567.22.10.pdf" Type="http://schemas.openxmlformats.org/officeDocument/2006/relationships/hyperlink" Id="rId166"/>
    <Relationship TargetMode="External" Target="https://www.legis.iowa.gov/docs/ico/chapter/203.1.pdf" Type="http://schemas.openxmlformats.org/officeDocument/2006/relationships/hyperlink" Id="rId167"/>
    <Relationship TargetMode="External" Target="https://www.legis.iowa.gov/docs/iac/rule/567.22.1.pdf" Type="http://schemas.openxmlformats.org/officeDocument/2006/relationships/hyperlink" Id="rId168"/>
    <Relationship TargetMode="External" Target="https://www.legis.iowa.gov/docs/iac/rule/567.22.1.pdf" Type="http://schemas.openxmlformats.org/officeDocument/2006/relationships/hyperlink" Id="rId169"/>
    <Relationship TargetMode="External" Target="https://www.legis.iowa.gov/docs/iac/rule/567.22.10.pdf" Type="http://schemas.openxmlformats.org/officeDocument/2006/relationships/hyperlink" Id="rId170"/>
    <Relationship TargetMode="External" Target="https://www.legis.iowa.gov/docs/iac/rule/567.22.1.pdf" Type="http://schemas.openxmlformats.org/officeDocument/2006/relationships/hyperlink" Id="rId171"/>
    <Relationship TargetMode="External" Target="https://www.legis.iowa.gov/docs/iac/rule/567.22.10.pdf" Type="http://schemas.openxmlformats.org/officeDocument/2006/relationships/hyperlink" Id="rId172"/>
    <Relationship TargetMode="External" Target="https://www.legis.iowa.gov/docs/iac/rule/567.22.1.pdf" Type="http://schemas.openxmlformats.org/officeDocument/2006/relationships/hyperlink" Id="rId173"/>
    <Relationship TargetMode="External" Target="https://www.legis.iowa.gov/docs/iac/rule/567.22.10.pdf" Type="http://schemas.openxmlformats.org/officeDocument/2006/relationships/hyperlink" Id="rId174"/>
    <Relationship TargetMode="External" Target="https://www.legis.iowa.gov/docs/iac/rule/567.22.1.pdf" Type="http://schemas.openxmlformats.org/officeDocument/2006/relationships/hyperlink" Id="rId175"/>
    <Relationship TargetMode="External" Target="https://www.legis.iowa.gov/docs/iac/chapter/567.33.pdf" Type="http://schemas.openxmlformats.org/officeDocument/2006/relationships/hyperlink" Id="rId176"/>
    <Relationship TargetMode="External" Target="https://www.legis.iowa.gov/docs/iac/rule/567.24.100.pdf" Type="http://schemas.openxmlformats.org/officeDocument/2006/relationships/hyperlink" Id="rId177"/>
    <Relationship TargetMode="External" Target="https://www.legis.iowa.gov/docs/iac/rule/567.24.300.pdf" Type="http://schemas.openxmlformats.org/officeDocument/2006/relationships/hyperlink" Id="rId178"/>
    <Relationship TargetMode="External" Target="https://www.legis.iowa.gov/docs/iac/rule/567.33.3.pdf" Type="http://schemas.openxmlformats.org/officeDocument/2006/relationships/hyperlink" Id="rId179"/>
    <Relationship TargetMode="External" Target="https://www.legis.iowa.gov/docs/iac/rule/567.24.100.pdf" Type="http://schemas.openxmlformats.org/officeDocument/2006/relationships/hyperlink" Id="rId180"/>
    <Relationship TargetMode="External" Target="https://www.legis.iowa.gov/docs/iac/rule/567.22.10.pdf" Type="http://schemas.openxmlformats.org/officeDocument/2006/relationships/hyperlink" Id="rId181"/>
    <Relationship TargetMode="External" Target="https://www.legis.iowa.gov/docs/iac/rule/567.22.1.pdf" Type="http://schemas.openxmlformats.org/officeDocument/2006/relationships/hyperlink" Id="rId182"/>
    <Relationship TargetMode="External" Target="https://www.legis.iowa.gov/docs/iac/chapter/567.33.pdf" Type="http://schemas.openxmlformats.org/officeDocument/2006/relationships/hyperlink" Id="rId183"/>
    <Relationship TargetMode="External" Target="https://www.legis.iowa.gov/docs/iac/rule/567.24.100.pdf" Type="http://schemas.openxmlformats.org/officeDocument/2006/relationships/hyperlink" Id="rId184"/>
    <Relationship TargetMode="External" Target="https://www.legis.iowa.gov/docs/iac/rule/567.24.300.pdf" Type="http://schemas.openxmlformats.org/officeDocument/2006/relationships/hyperlink" Id="rId185"/>
    <Relationship TargetMode="External" Target="https://www.legis.iowa.gov/docs/iac/rule/567.22.10.pdf" Type="http://schemas.openxmlformats.org/officeDocument/2006/relationships/hyperlink" Id="rId186"/>
    <Relationship TargetMode="External" Target="https://www.legis.iowa.gov/docs/iac/rule/567.22.10.pdf" Type="http://schemas.openxmlformats.org/officeDocument/2006/relationships/hyperlink" Id="rId187"/>
    <Relationship TargetMode="External" Target="https://www.legis.iowa.gov/docs/iac/rule/567.22.1.pdf" Type="http://schemas.openxmlformats.org/officeDocument/2006/relationships/hyperlink" Id="rId188"/>
    <Relationship TargetMode="External" Target="https://www.legis.iowa.gov/docs/iac/rule/567.22.10.pdf" Type="http://schemas.openxmlformats.org/officeDocument/2006/relationships/hyperlink" Id="rId189"/>
    <Relationship TargetMode="External" Target="https://www.legis.iowa.gov/docs/iac/rule/567.22.10.pdf" Type="http://schemas.openxmlformats.org/officeDocument/2006/relationships/hyperlink" Id="rId190"/>
    <Relationship TargetMode="External" Target="https://www.legis.iowa.gov/docs/iac/rule/567.22.1.pdf" Type="http://schemas.openxmlformats.org/officeDocument/2006/relationships/hyperlink" Id="rId191"/>
    <Relationship TargetMode="External" Target="https://www.legis.iowa.gov/docs/iac/rule/567.21.1.pdf" Type="http://schemas.openxmlformats.org/officeDocument/2006/relationships/hyperlink" Id="rId192"/>
    <Relationship TargetMode="External" Target="https://www.legis.iowa.gov/docs/iac/rule/567.22.10.pdf" Type="http://schemas.openxmlformats.org/officeDocument/2006/relationships/hyperlink" Id="rId193"/>
    <Relationship TargetMode="External" Target="https://www.legis.iowa.gov/docs/iac/rule/567.22.1.pdf" Type="http://schemas.openxmlformats.org/officeDocument/2006/relationships/hyperlink" Id="rId194"/>
    <Relationship TargetMode="External" Target="https://www.legis.iowa.gov/docs/iac/rule/567.22.1.pdf" Type="http://schemas.openxmlformats.org/officeDocument/2006/relationships/hyperlink" Id="rId195"/>
    <Relationship TargetMode="External" Target="https://www.legis.iowa.gov/docs/iac/rule/567.22.1.pdf" Type="http://schemas.openxmlformats.org/officeDocument/2006/relationships/hyperlink" Id="rId196"/>
    <Relationship TargetMode="External" Target="https://www.legis.iowa.gov/docs/iac/rule/567.21.1.pdf" Type="http://schemas.openxmlformats.org/officeDocument/2006/relationships/hyperlink" Id="rId197"/>
    <Relationship TargetMode="External" Target="https://www.legis.iowa.gov/docs/iac/chapter/567.33.pdf" Type="http://schemas.openxmlformats.org/officeDocument/2006/relationships/hyperlink" Id="rId198"/>
    <Relationship TargetMode="External" Target="https://www.legis.iowa.gov/docs/iac/rule/567.33.3.pdf" Type="http://schemas.openxmlformats.org/officeDocument/2006/relationships/hyperlink" Id="rId199"/>
    <Relationship TargetMode="External" Target="https://www.legis.iowa.gov/docs/iac/rule/567.22.10.pdf" Type="http://schemas.openxmlformats.org/officeDocument/2006/relationships/hyperlink" Id="rId200"/>
    <Relationship TargetMode="External" Target="https://www.legis.iowa.gov/docs/iac/rule/567.22.1.pdf" Type="http://schemas.openxmlformats.org/officeDocument/2006/relationships/hyperlink" Id="rId201"/>
    <Relationship TargetMode="External" Target="https://www.legis.iowa.gov/docs/iac/rule/567.22.1.pdf" Type="http://schemas.openxmlformats.org/officeDocument/2006/relationships/hyperlink" Id="rId202"/>
    <Relationship TargetMode="External" Target="https://www.legis.iowa.gov/docs/iac/rule/567.22.1.pdf" Type="http://schemas.openxmlformats.org/officeDocument/2006/relationships/hyperlink" Id="rId203"/>
    <Relationship TargetMode="External" Target="https://www.legis.iowa.gov/docs/iac/chapter/567.33.pdf" Type="http://schemas.openxmlformats.org/officeDocument/2006/relationships/hyperlink" Id="rId204"/>
    <Relationship TargetMode="External" Target="https://www.legis.iowa.gov/docs/iac/rule/567.33.3.pdf" Type="http://schemas.openxmlformats.org/officeDocument/2006/relationships/hyperlink" Id="rId205"/>
    <Relationship TargetMode="External" Target="https://www.legis.iowa.gov/docs/iac/rule/567.24.100.pdf" Type="http://schemas.openxmlformats.org/officeDocument/2006/relationships/hyperlink" Id="rId206"/>
    <Relationship TargetMode="External" Target="https://www.legis.iowa.gov/docs/iac/rule/567.24.300.pdf" Type="http://schemas.openxmlformats.org/officeDocument/2006/relationships/hyperlink" Id="rId207"/>
    <Relationship TargetMode="External" Target="https://www.legis.iowa.gov/docs/iac/rule/567.22.106.pdf" Type="http://schemas.openxmlformats.org/officeDocument/2006/relationships/hyperlink" Id="rId208"/>
    <Relationship TargetMode="External" Target="https://www.legis.iowa.gov/docs/iac/rule/567.22.10.pdf" Type="http://schemas.openxmlformats.org/officeDocument/2006/relationships/hyperlink" Id="rId209"/>
    <Relationship TargetMode="External" Target="https://www.legis.iowa.gov/docs/iac/rule/567.22.1.pdf" Type="http://schemas.openxmlformats.org/officeDocument/2006/relationships/hyperlink" Id="rId210"/>
    <Relationship TargetMode="External" Target="https://www.legis.iowa.gov/docs/iac/rule/567.21.1.pdf" Type="http://schemas.openxmlformats.org/officeDocument/2006/relationships/hyperlink" Id="rId211"/>
    <Relationship TargetMode="External" Target="https://www.legis.iowa.gov/docs/iac/rule/567.22.10.pdf" Type="http://schemas.openxmlformats.org/officeDocument/2006/relationships/hyperlink" Id="rId212"/>
    <Relationship TargetMode="External" Target="https://www.legis.iowa.gov/docs/iac/rule/567.24.100.pdf" Type="http://schemas.openxmlformats.org/officeDocument/2006/relationships/hyperlink" Id="rId213"/>
    <Relationship TargetMode="External" Target="https://www.legis.iowa.gov/docs/iac/rule/567.24.300.pdf" Type="http://schemas.openxmlformats.org/officeDocument/2006/relationships/hyperlink" Id="rId214"/>
    <Relationship TargetMode="External" Target="https://www.legis.iowa.gov/docs/iac/rule/567.24.100.pdf" Type="http://schemas.openxmlformats.org/officeDocument/2006/relationships/hyperlink" Id="rId215"/>
    <Relationship TargetMode="External" Target="https://www.legis.iowa.gov/docs/iac/rule/567.24.300.pdf" Type="http://schemas.openxmlformats.org/officeDocument/2006/relationships/hyperlink" Id="rId216"/>
    <Relationship TargetMode="External" Target="https://www.legis.iowa.gov/docs/iac/rule/567.22.106.pdf" Type="http://schemas.openxmlformats.org/officeDocument/2006/relationships/hyperlink" Id="rId217"/>
    <Relationship TargetMode="External" Target="https://www.legis.iowa.gov/docs/iac/chapter/567.33.pdf" Type="http://schemas.openxmlformats.org/officeDocument/2006/relationships/hyperlink" Id="rId218"/>
    <Relationship TargetMode="External" Target="https://www.legis.iowa.gov/docs/iac/chapter/567.33.pdf" Type="http://schemas.openxmlformats.org/officeDocument/2006/relationships/hyperlink" Id="rId219"/>
    <Relationship TargetMode="External" Target="https://www.legis.iowa.gov/docs/ico/chapter/455B.133.pdf" Type="http://schemas.openxmlformats.org/officeDocument/2006/relationships/hyperlink" Id="rId220"/>
    <Relationship TargetMode="External" Target="https://www.legis.iowa.gov/docs/ico/chapter/455B.134.pdf" Type="http://schemas.openxmlformats.org/officeDocument/2006/relationships/hyperlink" Id="rId2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