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w:t>
      </w:r>
    </w:p>
    <w:p>
      <w:pPr>
        <w:spacing w:before="0" w:after="0"/>
        <w:ind w:left="120"/>
        <w:jc w:val="center"/>
      </w:pPr>
      <w:r>
        <w:rPr>
          <w:rFonts w:ascii="Times New Roman" w:hAnsi="Times New Roman"/>
          <w:b w:val="false"/>
          <w:i w:val="false"/>
          <w:color w:val="000000"/>
          <w:sz w:val="21"/>
        </w:rPr>
        <w:t>HEALTHY AND WELL KIDS IN IOWA (HAWKI)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441—86.1</w:t>
      </w:r>
      <w:r>
        <w:rPr>
          <w:rFonts w:ascii="Times New Roman" w:hAnsi="Times New Roman"/>
          <w:b/>
          <w:i w:val="false"/>
          <w:color w:val="000000"/>
          <w:sz w:val="22"/>
        </w:rPr>
        <w:t xml:space="preserve">(514I)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error” </w:t>
      </w:r>
      <w:r>
        <w:rPr>
          <w:rFonts w:ascii="Times New Roman" w:hAnsi="Times New Roman"/>
          <w:b w:val="false"/>
          <w:i w:val="false"/>
          <w:color w:val="000000"/>
          <w:sz w:val="22"/>
        </w:rPr>
        <w:t>means an action of the department that results in incorrect payment of benefits, including premiums paid to a health or dental plan, due to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Misfiled or lost form or document.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request essential verification necessary to make an accurate eligibility determination.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make timely revision in eligibility following a change in policy requiring application of the policy change as of a specific date.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Failure to issue timely notice to cancel benefits that results in benefits continuing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anyone in the household, including all adults and children under the age of 19 who are counted in the hawki family size according to the modified adjusted gross income methodology and who are listed on the application or renewal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“Capitation rate” </w:t>
      </w:r>
      <w:r>
        <w:rPr>
          <w:rFonts w:ascii="Times New Roman" w:hAnsi="Times New Roman"/>
          <w:b w:val="false"/>
          <w:i w:val="false"/>
          <w:color w:val="000000"/>
          <w:sz w:val="22"/>
        </w:rPr>
        <w:t>means the fee the department pays monthly to a PHP for each enrolled recipient for the provision of covered medical services whether or not the enrolled recipient received services during the month for which the fee is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r>
        <w:rPr>
          <w:rFonts w:ascii="Times New Roman" w:hAnsi="Times New Roman"/>
          <w:b w:val="false"/>
          <w:i w:val="false"/>
          <w:color w:val="000000"/>
          <w:sz w:val="22"/>
        </w:rPr>
        <w:t>means any action or inaction of the enrollee or the enrollee’s representative that results in incorrect payment of benefits, including premiums paid to a health or dental plan, because at least one of the following occurred: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enrollee or the enrollee’s representative failed to disclose information or gave a false or misleading statement, oral or written, regarding income or another eligibility factor;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enrollee or the enrollee’s representative failed to timely report a change as defined in rule </w:t>
      </w:r>
      <w:hyperlink r:id="rId5">
        <w:r>
          <w:rPr>
            <w:rStyle w:val="Hyperlink"/>
            <w:rFonts w:ascii="Times New Roman" w:hAnsi="Times New Roman"/>
            <w:b w:val="false"/>
            <w:i w:val="false"/>
            <w:color w:val="000000"/>
            <w:sz w:val="22"/>
          </w:rPr>
          <w:t>441—86.10</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the contract between the department and the participating health or dental plan for the provision of medical or dental services to hawki enrollees for whom the participating health or dental plans assume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 xml:space="preserve">means the payment of a premium or copayment as provided for by </w:t>
      </w:r>
      <w:r>
        <w:rPr>
          <w:rFonts w:ascii="Times New Roman" w:hAnsi="Times New Roman"/>
          <w:b w:val="false"/>
          <w:i w:val="false"/>
          <w:color w:val="000000"/>
          <w:sz w:val="22"/>
        </w:rPr>
        <w:t>Title XXI of the federal Social Security Act</w:t>
      </w:r>
      <w:r>
        <w:rPr>
          <w:rFonts w:ascii="Times New Roman" w:hAnsi="Times New Roman"/>
          <w:b w:val="false"/>
          <w:i w:val="false"/>
          <w:color w:val="000000"/>
          <w:sz w:val="22"/>
        </w:rPr>
        <w:t xml:space="preserve">, as amended to August 1, 2024, and Iowa Code section </w:t>
      </w:r>
      <w:hyperlink r:id="rId6">
        <w:r>
          <w:rPr>
            <w:rStyle w:val="Hyperlink"/>
            <w:rFonts w:ascii="Times New Roman" w:hAnsi="Times New Roman"/>
            <w:b w:val="false"/>
            <w:i w:val="false"/>
            <w:color w:val="000000"/>
            <w:sz w:val="22"/>
          </w:rPr>
          <w:t>514I.10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means earned and unearned income of the family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 xml:space="preserve">means all or a part of those medical and dental services set forth in rule </w:t>
      </w:r>
      <w:hyperlink r:id="rId7">
        <w:r>
          <w:rPr>
            <w:rStyle w:val="Hyperlink"/>
            <w:rFonts w:ascii="Times New Roman" w:hAnsi="Times New Roman"/>
            <w:b w:val="false"/>
            <w:i w:val="false"/>
            <w:color w:val="000000"/>
            <w:sz w:val="22"/>
          </w:rPr>
          <w:t>441—86.14</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“Dentist” </w:t>
      </w:r>
      <w:r>
        <w:rPr>
          <w:rFonts w:ascii="Times New Roman" w:hAnsi="Times New Roman"/>
          <w:b w:val="false"/>
          <w:i w:val="false"/>
          <w:color w:val="000000"/>
          <w:sz w:val="22"/>
        </w:rPr>
        <w:t>means a person who is licensed to practice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 xml:space="preserve">means an individual who meets the criteria for participation in the hawki program as set forth in rule </w:t>
      </w:r>
      <w:hyperlink r:id="rId8">
        <w:r>
          <w:rPr>
            <w:rStyle w:val="Hyperlink"/>
            <w:rFonts w:ascii="Times New Roman" w:hAnsi="Times New Roman"/>
            <w:b w:val="false"/>
            <w:i w:val="false"/>
            <w:color w:val="000000"/>
            <w:sz w:val="22"/>
          </w:rPr>
          <w:t>441—86.2</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dental condition” </w:t>
      </w:r>
      <w:r>
        <w:rPr>
          <w:rFonts w:ascii="Times New Roman" w:hAnsi="Times New Roman"/>
          <w:b w:val="false"/>
          <w:i w:val="false"/>
          <w:color w:val="000000"/>
          <w:sz w:val="22"/>
        </w:rPr>
        <w:t>means an oral condition that occurs suddenly and creates an urgent need for professional consultation or treatment. Emergency conditions may include hemorrhage, infection, pain, broken teeth, knocked-out teeth, or other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condition” </w:t>
      </w:r>
      <w:r>
        <w:rPr>
          <w:rFonts w:ascii="Times New Roman" w:hAnsi="Times New Roman"/>
          <w:b w:val="false"/>
          <w:i w:val="false"/>
          <w:color w:val="000000"/>
          <w:sz w:val="22"/>
        </w:rPr>
        <w:t>means a medical condition manifesting itself by acute symptoms of sufficient severity, including severe pain, such that a prudent layperson, who possesses an average knowledge of health and medicine, could reasonably expect the absence of immediate medical attention to result in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Placing the health of the person or, with respect to a pregnant woman, the health of the woman and her unborn child, in serious jeopardy,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Serious impairment to bodily functions,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means, with respect to an individual enrolled with a plan, covered inpatient and outpatient services that are furnished by a provider qualified to furnish these services and that are needed to evaluate and stabilize an emergency medical or dental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means a child who has been determined eligible for the program and who has been enrolled with a participating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“Enrollment broker” </w:t>
      </w:r>
      <w:r>
        <w:rPr>
          <w:rFonts w:ascii="Times New Roman" w:hAnsi="Times New Roman"/>
          <w:b w:val="false"/>
          <w:i w:val="false"/>
          <w:color w:val="000000"/>
          <w:sz w:val="22"/>
        </w:rPr>
        <w:t>means the entity the department uses to enroll eligible children with a managed care organization. The enrollment broker must be conflict-free and meet all applicable requirements of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anyone in the household, including all adults and children under the age of 19 who are counted in the hawki family size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poverty level” </w:t>
      </w:r>
      <w:r>
        <w:rPr>
          <w:rFonts w:ascii="Times New Roman" w:hAnsi="Times New Roman"/>
          <w:b w:val="false"/>
          <w:i w:val="false"/>
          <w:color w:val="000000"/>
          <w:sz w:val="22"/>
        </w:rPr>
        <w:t>means the poverty income guidelines revised annually and published in the Federal Register by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means the family has demonstrated that one or more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was a serious illness or death of the enrollee or a member of the enrollee’s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was a family emergency or household disaster, such as a fire, flood, or tornado.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There was a reason beyond the enrollee’s control.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There was a failure to receive the department’s request for a reason not attributable to the enrollee. Lack of a forwarding address is attributable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“Hawki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healthy and well kids in Iowa program implemented in this chapter to provide health and dental care coverage to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coverage” </w:t>
      </w:r>
      <w:r>
        <w:rPr>
          <w:rFonts w:ascii="Times New Roman" w:hAnsi="Times New Roman"/>
          <w:b w:val="false"/>
          <w:i w:val="false"/>
          <w:color w:val="000000"/>
          <w:sz w:val="22"/>
        </w:rPr>
        <w:t>means health insurance coverage as defined in 45 CFR Section 144.103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Marketplace”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“Exchange” </w:t>
      </w:r>
      <w:r>
        <w:rPr>
          <w:rFonts w:ascii="Times New Roman" w:hAnsi="Times New Roman"/>
          <w:b w:val="false"/>
          <w:i w:val="false"/>
          <w:color w:val="000000"/>
          <w:sz w:val="22"/>
        </w:rPr>
        <w:t xml:space="preserve">means the entity authorized under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18031(d)(4)(F) (as amended to August 1, 2024) to evaluate and determine eligibility of applicants for Medicaid, the Children’s Health Insurance Program (CHIP), and other health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means the first program application or a subsequent application that is not a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for mental diseases” </w:t>
      </w:r>
      <w:r>
        <w:rPr>
          <w:rFonts w:ascii="Times New Roman" w:hAnsi="Times New Roman"/>
          <w:b w:val="false"/>
          <w:i w:val="false"/>
          <w:color w:val="000000"/>
          <w:sz w:val="22"/>
        </w:rPr>
        <w:t>means the same as defined in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Assistance Advisory Council”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“MAAC” </w:t>
      </w:r>
      <w:r>
        <w:rPr>
          <w:rFonts w:ascii="Times New Roman" w:hAnsi="Times New Roman"/>
          <w:b w:val="false"/>
          <w:i w:val="false"/>
          <w:color w:val="000000"/>
          <w:sz w:val="22"/>
        </w:rPr>
        <w:t xml:space="preserve">means the advisory body authorized by Iowa Code section </w:t>
      </w:r>
      <w:hyperlink r:id="rId9">
        <w:r>
          <w:rPr>
            <w:rStyle w:val="Hyperlink"/>
            <w:rFonts w:ascii="Times New Roman" w:hAnsi="Times New Roman"/>
            <w:b w:val="false"/>
            <w:i w:val="false"/>
            <w:color w:val="000000"/>
            <w:sz w:val="22"/>
          </w:rPr>
          <w:t>249A.4B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“Modified adjusted gross income” </w:t>
      </w:r>
      <w:r>
        <w:rPr>
          <w:rFonts w:ascii="Times New Roman" w:hAnsi="Times New Roman"/>
          <w:b w:val="false"/>
          <w:i w:val="false"/>
          <w:color w:val="000000"/>
          <w:sz w:val="22"/>
        </w:rPr>
        <w:t xml:space="preserve">means the methodology prescribed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1396a(e)(14) and </w:t>
      </w:r>
      <w:r>
        <w:rPr>
          <w:rFonts w:ascii="Times New Roman" w:hAnsi="Times New Roman"/>
          <w:b w:val="false"/>
          <w:i w:val="false"/>
          <w:color w:val="000000"/>
          <w:sz w:val="22"/>
        </w:rPr>
        <w:t>42 CFR 435.603</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dental plan” </w:t>
      </w:r>
      <w:r>
        <w:rPr>
          <w:rFonts w:ascii="Times New Roman" w:hAnsi="Times New Roman"/>
          <w:b w:val="false"/>
          <w:i w:val="false"/>
          <w:color w:val="000000"/>
          <w:sz w:val="22"/>
        </w:rPr>
        <w:t>means any entity licensed by the division of insurance of the department of insurance and financial services to provide dental insurance in Iowa that has contracted with the department to provide dental insurance coverage to eligible children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health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“PHP” </w:t>
      </w:r>
      <w:r>
        <w:rPr>
          <w:rFonts w:ascii="Times New Roman" w:hAnsi="Times New Roman"/>
          <w:b w:val="false"/>
          <w:i w:val="false"/>
          <w:color w:val="000000"/>
          <w:sz w:val="22"/>
        </w:rPr>
        <w:t>means any entity licensed by the division of insurance of the department of insurance and financial services to provide health insurance in Iowa or an organized delivery system licensed by the director that has contracted with the department to provide health insurance coverage to eligible children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“Passive enrollment process” </w:t>
      </w:r>
      <w:r>
        <w:rPr>
          <w:rFonts w:ascii="Times New Roman" w:hAnsi="Times New Roman"/>
          <w:b w:val="false"/>
          <w:i w:val="false"/>
          <w:color w:val="000000"/>
          <w:sz w:val="22"/>
        </w:rPr>
        <w:t>means the process by which the department assigns a child to a participating health or dental plan and which seeks to preserve existing provider-enrollee relationships, if possible. In the absence of existing relationships, the process ensures that members are equally distributed among all available health or dental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an individual, firm, corporation, association, or institution that is providing or has been approved to provide medical or dental care or services to an enrollee pursuant to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institution” </w:t>
      </w:r>
      <w:r>
        <w:rPr>
          <w:rFonts w:ascii="Times New Roman" w:hAnsi="Times New Roman"/>
          <w:b w:val="false"/>
          <w:i w:val="false"/>
          <w:color w:val="000000"/>
          <w:sz w:val="22"/>
        </w:rPr>
        <w:t>means the same as defined in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means any application used to establish ongoing eligibility, without a break in coverage, for any enrollment period subsequent to an enrollment period established by an initial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“Supplemental dental-only coverage” </w:t>
      </w:r>
      <w:r>
        <w:rPr>
          <w:rFonts w:ascii="Times New Roman" w:hAnsi="Times New Roman"/>
          <w:b w:val="false"/>
          <w:i w:val="false"/>
          <w:color w:val="000000"/>
          <w:sz w:val="22"/>
        </w:rPr>
        <w:t>means dental care coverage provided to a child who meets the eligibility requirements for the hawki program except that the child is covered by health insurance through an individual or group health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441—86.2</w:t>
      </w:r>
      <w:r>
        <w:rPr>
          <w:rFonts w:ascii="Times New Roman" w:hAnsi="Times New Roman"/>
          <w:b/>
          <w:i w:val="false"/>
          <w:color w:val="000000"/>
          <w:sz w:val="22"/>
        </w:rPr>
        <w:t xml:space="preserve">(514I) </w:t>
      </w:r>
      <w:r>
        <w:rPr>
          <w:rFonts w:ascii="Times New Roman" w:hAnsi="Times New Roman"/>
          <w:b/>
          <w:i w:val="false"/>
          <w:color w:val="000000"/>
          <w:sz w:val="22"/>
        </w:rPr>
        <w:t xml:space="preserve">Eligibility factors. </w:t>
      </w:r>
      <w:r>
        <w:rPr>
          <w:rFonts w:ascii="Times New Roman" w:hAnsi="Times New Roman"/>
          <w:b w:val="false"/>
          <w:i w:val="false"/>
          <w:color w:val="000000"/>
          <w:sz w:val="22"/>
        </w:rPr>
        <w:t>The decision with respect to eligibility will be based primarily on electronic data matches and information furnished by the applicant, the enrollee, or a person acting on behalf of the applicant or enrollee. A child must meet the following eligibility factors to participate in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child shall be under 19 years of age. Eligibility for the program ends the first day of the month following the month of the child’s nineteenth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In determining initial and ongoing eligibility for the hawki program, countable income shall not exceed 302 percent of the federal poverty level for a family of the same size. Countable income shall be determined using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income. </w:t>
      </w:r>
      <w:r>
        <w:rPr>
          <w:rFonts w:ascii="Times New Roman" w:hAnsi="Times New Roman"/>
          <w:b w:val="false"/>
          <w:i w:val="false"/>
          <w:color w:val="000000"/>
          <w:sz w:val="22"/>
        </w:rPr>
        <w:t>Income shall be verified through electronic data matches when possible or otherwise verified using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stubs, tip records, tax records and employers’ statements are acceptable forms of verification of 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self-employment income cannot be verified through electronic means, business records or income tax returns from the previous year can be used if they are representative of anticipated earnings. If business records or tax returns from the previous year are not representative of anticipated earnings, an average of the business records or tax returns from the previous two or three years may be used if that average is representative of anticipated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Changes in income. </w:t>
      </w:r>
      <w:r>
        <w:rPr>
          <w:rFonts w:ascii="Times New Roman" w:hAnsi="Times New Roman"/>
          <w:b w:val="false"/>
          <w:i w:val="false"/>
          <w:color w:val="000000"/>
          <w:sz w:val="22"/>
        </w:rPr>
        <w:t xml:space="preserve">Once initial eligibility is established, changes in income during the 12-month enrollment period shall not affect the child’s eligibility to participate in the hawki program. However, if income has decreased, the family may request a review of their income to establish whether they are required to continue paying a premium in accordance with rule </w:t>
      </w:r>
      <w:hyperlink r:id="rId11">
        <w:r>
          <w:rPr>
            <w:rStyle w:val="Hyperlink"/>
            <w:rFonts w:ascii="Times New Roman" w:hAnsi="Times New Roman"/>
            <w:b w:val="false"/>
            <w:i w:val="false"/>
            <w:color w:val="000000"/>
            <w:sz w:val="22"/>
          </w:rPr>
          <w:t>441—86.8</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w:t>
      </w:r>
      <w:r>
        <w:rPr>
          <w:rFonts w:ascii="Times New Roman" w:hAnsi="Times New Roman"/>
          <w:b w:val="false"/>
          <w:i w:val="false"/>
          <w:color w:val="000000"/>
          <w:sz w:val="22"/>
        </w:rPr>
        <w:t> </w:t>
      </w:r>
      <w:r>
        <w:rPr>
          <w:rFonts w:ascii="Times New Roman" w:hAnsi="Times New Roman"/>
          <w:b w:val="false"/>
          <w:i/>
          <w:color w:val="000000"/>
          <w:sz w:val="22"/>
        </w:rPr>
        <w:t xml:space="preserve">Family size. </w:t>
      </w:r>
      <w:r>
        <w:rPr>
          <w:rFonts w:ascii="Times New Roman" w:hAnsi="Times New Roman"/>
          <w:b w:val="false"/>
          <w:i w:val="false"/>
          <w:color w:val="000000"/>
          <w:sz w:val="22"/>
        </w:rPr>
        <w:t>For purposes of establishing initial and ongoing eligibility under the hawki program, the family size shall be determined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86.2(4)</w:t>
      </w:r>
      <w:r>
        <w:rPr>
          <w:rFonts w:ascii="Times New Roman" w:hAnsi="Times New Roman"/>
          <w:b w:val="false"/>
          <w:i w:val="false"/>
          <w:color w:val="000000"/>
          <w:sz w:val="22"/>
        </w:rPr>
        <w:t> </w:t>
      </w:r>
      <w:r>
        <w:rPr>
          <w:rFonts w:ascii="Times New Roman" w:hAnsi="Times New Roman"/>
          <w:b w:val="false"/>
          <w:i/>
          <w:color w:val="000000"/>
          <w:sz w:val="22"/>
        </w:rPr>
        <w:t xml:space="preserve">Uninsured status. </w:t>
      </w:r>
      <w:r>
        <w:rPr>
          <w:rFonts w:ascii="Times New Roman" w:hAnsi="Times New Roman"/>
          <w:b w:val="false"/>
          <w:i w:val="false"/>
          <w:color w:val="000000"/>
          <w:sz w:val="22"/>
        </w:rPr>
        <w:t>The child must be uninsured as outlined in 42 CFR 457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86.2(5)</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Medicaid. </w:t>
      </w:r>
      <w:r>
        <w:rPr>
          <w:rFonts w:ascii="Times New Roman" w:hAnsi="Times New Roman"/>
          <w:b w:val="false"/>
          <w:i w:val="false"/>
          <w:color w:val="000000"/>
          <w:sz w:val="22"/>
        </w:rPr>
        <w:t xml:space="preserve">The child shall not be receiving Medicaid or eligible to receive Medicaid except when the child would be required to meet a spenddown under the medically needy program in accordance with the provisions of </w:t>
      </w:r>
      <w:hyperlink r:id="rId12">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86.2(6)</w:t>
      </w:r>
      <w:r>
        <w:rPr>
          <w:rFonts w:ascii="Times New Roman" w:hAnsi="Times New Roman"/>
          <w:b w:val="false"/>
          <w:i w:val="false"/>
          <w:color w:val="000000"/>
          <w:sz w:val="22"/>
        </w:rPr>
        <w:t> </w:t>
      </w:r>
      <w:r>
        <w:rPr>
          <w:rFonts w:ascii="Times New Roman" w:hAnsi="Times New Roman"/>
          <w:b w:val="false"/>
          <w:i/>
          <w:color w:val="000000"/>
          <w:sz w:val="22"/>
        </w:rPr>
        <w:t xml:space="preserve">Iowa residency. </w:t>
      </w:r>
      <w:r>
        <w:rPr>
          <w:rFonts w:ascii="Times New Roman" w:hAnsi="Times New Roman"/>
          <w:b w:val="false"/>
          <w:i w:val="false"/>
          <w:color w:val="000000"/>
          <w:sz w:val="22"/>
        </w:rPr>
        <w:t xml:space="preserve">Residency in Iowa is a condition of eligibility for the hawki program. Residency shall be established in accordance with rule </w:t>
      </w:r>
      <w:hyperlink r:id="rId13">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86.2(7)</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immigration status. </w:t>
      </w:r>
      <w:r>
        <w:rPr>
          <w:rFonts w:ascii="Times New Roman" w:hAnsi="Times New Roman"/>
          <w:b w:val="false"/>
          <w:i w:val="false"/>
          <w:color w:val="000000"/>
          <w:sz w:val="22"/>
        </w:rPr>
        <w:t xml:space="preserve">To be eligible for the hawki program, the child shall be a citizen or lawfully admitted immigrant. The criteria established under </w:t>
      </w:r>
      <w:hyperlink r:id="rId14">
        <w:r>
          <w:rPr>
            <w:rStyle w:val="Hyperlink"/>
            <w:rFonts w:ascii="Times New Roman" w:hAnsi="Times New Roman"/>
            <w:b w:val="false"/>
            <w:i w:val="false"/>
            <w:color w:val="000000"/>
            <w:sz w:val="22"/>
          </w:rPr>
          <w:t>441—subrule 75.11(2)</w:t>
        </w:r>
      </w:hyperlink>
      <w:r>
        <w:rPr>
          <w:rFonts w:ascii="Times New Roman" w:hAnsi="Times New Roman"/>
          <w:b w:val="false"/>
          <w:i w:val="false"/>
          <w:color w:val="000000"/>
          <w:sz w:val="22"/>
        </w:rPr>
        <w:t xml:space="preserve"> shall be followed when determining whether a lawfully admitted immigrant child is eligible to participate in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citizenship or immigration status of the parents or other responsible person shall not be considered when determining the eligibility of the child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for hawki: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shall attest to their citizenship status by signing the application form, which contains a citizenship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child under the age of 19 is not living independently, the child’s parent or other responsible person with whom the child lives shall be responsible for attesting to the child’s citizenship or immigration status and for providing any required proof of the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5">
        <w:r>
          <w:rPr>
            <w:rStyle w:val="Hyperlink"/>
            <w:rFonts w:ascii="Times New Roman" w:hAnsi="Times New Roman"/>
            <w:b w:val="false"/>
            <w:i w:val="false"/>
            <w:color w:val="000000"/>
            <w:sz w:val="22"/>
          </w:rPr>
          <w:t>441—paragraph 75.11(2)</w:t>
        </w:r>
      </w:hyperlink>
      <w:r>
        <w:rPr>
          <w:rFonts w:ascii="Times New Roman" w:hAnsi="Times New Roman"/>
          <w:b w:val="false"/>
          <w:i/>
          <w:color w:val="000000"/>
          <w:sz w:val="22"/>
        </w:rPr>
        <w:t>“f,”</w:t>
      </w:r>
      <w:r>
        <w:rPr>
          <w:rFonts w:ascii="Times New Roman" w:hAnsi="Times New Roman"/>
          <w:b w:val="false"/>
          <w:i w:val="false"/>
          <w:color w:val="000000"/>
          <w:sz w:val="22"/>
        </w:rPr>
        <w:t xml:space="preserve"> applicants or enrollees for whom an attestation of United States citizenship has been made pursuant to paragraph </w:t>
      </w:r>
      <w:hyperlink r:id="rId16">
        <w:r>
          <w:rPr>
            <w:rStyle w:val="Hyperlink"/>
            <w:rFonts w:ascii="Times New Roman" w:hAnsi="Times New Roman"/>
            <w:b w:val="false"/>
            <w:i w:val="false"/>
            <w:color w:val="000000"/>
            <w:sz w:val="22"/>
          </w:rPr>
          <w:t>86.2(7)</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citizenship or nationality as defined in 441—paragraphs </w:t>
      </w:r>
      <w:hyperlink r:id="rId17">
        <w:r>
          <w:rPr>
            <w:rStyle w:val="Hyperlink"/>
            <w:rFonts w:ascii="Times New Roman" w:hAnsi="Times New Roman"/>
            <w:b w:val="false"/>
            <w:i w:val="false"/>
            <w:color w:val="000000"/>
            <w:sz w:val="22"/>
          </w:rPr>
          <w:t>75.11(2)</w:t>
        </w:r>
        <w:r>
          <w:rPr>
            <w:rFonts w:ascii="Times New Roman" w:hAnsi="Times New Roman"/>
            <w:b w:val="false"/>
            <w:i/>
            <w:color w:val="000000"/>
            <w:sz w:val="22"/>
          </w:rPr>
          <w:t>“d,”</w:t>
        </w:r>
      </w:hyperlink>
      <w:r>
        <w:rPr>
          <w:rFonts w:ascii="Times New Roman" w:hAnsi="Times New Roman"/>
          <w:b w:val="false"/>
          <w:i/>
          <w:color w:val="000000"/>
          <w:sz w:val="22"/>
        </w:rPr>
        <w:t>“e,”</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enrollee shall have a reasonable opportunity period to obtain and provide proof of citizenship and nationality in accordance with </w:t>
      </w:r>
      <w:hyperlink r:id="rId18">
        <w:r>
          <w:rPr>
            <w:rStyle w:val="Hyperlink"/>
            <w:rFonts w:ascii="Times New Roman" w:hAnsi="Times New Roman"/>
            <w:b w:val="false"/>
            <w:i w:val="false"/>
            <w:color w:val="000000"/>
            <w:sz w:val="22"/>
          </w:rPr>
          <w:t>441—paragraph 75.11(2)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provide acceptable documentary evidence for a child shall not affect the eligibility of other children in the family for whom acceptable documentary evidence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86.2(8)</w:t>
      </w:r>
      <w:r>
        <w:rPr>
          <w:rFonts w:ascii="Times New Roman" w:hAnsi="Times New Roman"/>
          <w:b w:val="false"/>
          <w:i w:val="false"/>
          <w:color w:val="000000"/>
          <w:sz w:val="22"/>
        </w:rPr>
        <w:t> </w:t>
      </w:r>
      <w:r>
        <w:rPr>
          <w:rFonts w:ascii="Times New Roman" w:hAnsi="Times New Roman"/>
          <w:b w:val="false"/>
          <w:i/>
          <w:color w:val="000000"/>
          <w:sz w:val="22"/>
        </w:rPr>
        <w:t xml:space="preserve">Dependents of state of Iowa employees. </w:t>
      </w:r>
      <w:r>
        <w:rPr>
          <w:rFonts w:ascii="Times New Roman" w:hAnsi="Times New Roman"/>
          <w:b w:val="false"/>
          <w:i w:val="false"/>
          <w:color w:val="000000"/>
          <w:sz w:val="22"/>
        </w:rPr>
        <w:t>The child shall not be eligible for the hawki program if the child is eligible for health insurance coverage as a dependent of a state of Iowa employee unless the state contributes only a nominal amount toward the cost of dependent coverage. “Nominal amount” means $10 or less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86.2(9)</w:t>
      </w:r>
      <w:r>
        <w:rPr>
          <w:rFonts w:ascii="Times New Roman" w:hAnsi="Times New Roman"/>
          <w:b w:val="false"/>
          <w:i w:val="false"/>
          <w:color w:val="000000"/>
          <w:sz w:val="22"/>
        </w:rPr>
        <w:t> </w:t>
      </w:r>
      <w:r>
        <w:rPr>
          <w:rFonts w:ascii="Times New Roman" w:hAnsi="Times New Roman"/>
          <w:b w:val="false"/>
          <w:i/>
          <w:color w:val="000000"/>
          <w:sz w:val="22"/>
        </w:rPr>
        <w:t xml:space="preserve">Inmates of public institutions. </w:t>
      </w:r>
      <w:r>
        <w:rPr>
          <w:rFonts w:ascii="Times New Roman" w:hAnsi="Times New Roman"/>
          <w:b w:val="false"/>
          <w:i w:val="false"/>
          <w:color w:val="000000"/>
          <w:sz w:val="22"/>
        </w:rPr>
        <w:t>The child shall not be an inmate of a public institution as defined at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86.2(10)</w:t>
      </w:r>
      <w:r>
        <w:rPr>
          <w:rFonts w:ascii="Times New Roman" w:hAnsi="Times New Roman"/>
          <w:b w:val="false"/>
          <w:i w:val="false"/>
          <w:color w:val="000000"/>
          <w:sz w:val="22"/>
        </w:rPr>
        <w:t> </w:t>
      </w:r>
      <w:r>
        <w:rPr>
          <w:rFonts w:ascii="Times New Roman" w:hAnsi="Times New Roman"/>
          <w:b w:val="false"/>
          <w:i/>
          <w:color w:val="000000"/>
          <w:sz w:val="22"/>
        </w:rPr>
        <w:t xml:space="preserve">Inmates of institutions for mental disease. </w:t>
      </w:r>
      <w:r>
        <w:rPr>
          <w:rFonts w:ascii="Times New Roman" w:hAnsi="Times New Roman"/>
          <w:b w:val="false"/>
          <w:i w:val="false"/>
          <w:color w:val="000000"/>
          <w:sz w:val="22"/>
        </w:rPr>
        <w:t>At the time of application or annual review of eligibility, the child shall not be an inmate of an institution for mental disease as defined at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86.2(11)</w:t>
      </w:r>
      <w:r>
        <w:rPr>
          <w:rFonts w:ascii="Times New Roman" w:hAnsi="Times New Roman"/>
          <w:b w:val="false"/>
          <w:i w:val="false"/>
          <w:color w:val="000000"/>
          <w:sz w:val="22"/>
        </w:rPr>
        <w:t> </w:t>
      </w:r>
      <w:r>
        <w:rPr>
          <w:rFonts w:ascii="Times New Roman" w:hAnsi="Times New Roman"/>
          <w:b w:val="false"/>
          <w:i/>
          <w:color w:val="000000"/>
          <w:sz w:val="22"/>
        </w:rPr>
        <w:t xml:space="preserve">Furnishing a social security number. </w:t>
      </w:r>
      <w:r>
        <w:rPr>
          <w:rFonts w:ascii="Times New Roman" w:hAnsi="Times New Roman"/>
          <w:b w:val="false"/>
          <w:i w:val="false"/>
          <w:color w:val="000000"/>
          <w:sz w:val="22"/>
        </w:rPr>
        <w:t xml:space="preserve">As a condition of eligibility and in accordance with rule </w:t>
      </w:r>
      <w:hyperlink r:id="rId19">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 a social security number or proof of application for the number if the number has not been issued or is not known must be furnished for a child for whom coverage under hawki is being requested or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441—86.3</w:t>
      </w:r>
      <w:r>
        <w:rPr>
          <w:rFonts w:ascii="Times New Roman" w:hAnsi="Times New Roman"/>
          <w:b/>
          <w:i w:val="false"/>
          <w:color w:val="000000"/>
          <w:sz w:val="22"/>
        </w:rPr>
        <w:t xml:space="preserve">(514I)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86.3(1)</w:t>
      </w:r>
      <w:r>
        <w:rPr>
          <w:rFonts w:ascii="Times New Roman" w:hAnsi="Times New Roman"/>
          <w:b w:val="false"/>
          <w:i w:val="false"/>
          <w:color w:val="000000"/>
          <w:sz w:val="22"/>
        </w:rPr>
        <w:t> </w:t>
      </w:r>
      <w:r>
        <w:rPr>
          <w:rFonts w:ascii="Times New Roman" w:hAnsi="Times New Roman"/>
          <w:b w:val="false"/>
          <w:i/>
          <w:color w:val="000000"/>
          <w:sz w:val="22"/>
        </w:rPr>
        <w:t xml:space="preserve">Who may apply. </w:t>
      </w:r>
      <w:r>
        <w:rPr>
          <w:rFonts w:ascii="Times New Roman" w:hAnsi="Times New Roman"/>
          <w:b w:val="false"/>
          <w:i w:val="false"/>
          <w:color w:val="000000"/>
          <w:sz w:val="22"/>
        </w:rPr>
        <w:t xml:space="preserve">Each person wishing to do so shall have the opportunity to apply for the hawki program in accordance with rule </w:t>
      </w:r>
      <w:hyperlink r:id="rId20">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An application for the hawki program may be filed with the department through an Internet website, by telephone, through other electronic means, or through an exchange, disproportionate share hospital, federally qualified health center, or other facility in which outstationing activities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86.3(3)</w:t>
      </w:r>
      <w:r>
        <w:rPr>
          <w:rFonts w:ascii="Times New Roman" w:hAnsi="Times New Roman"/>
          <w:b w:val="false"/>
          <w:i w:val="false"/>
          <w:color w:val="000000"/>
          <w:sz w:val="22"/>
        </w:rPr>
        <w:t> </w:t>
      </w:r>
      <w:r>
        <w:rPr>
          <w:rFonts w:ascii="Times New Roman" w:hAnsi="Times New Roman"/>
          <w:b w:val="false"/>
          <w:i/>
          <w:color w:val="000000"/>
          <w:sz w:val="22"/>
        </w:rPr>
        <w:t xml:space="preserve">Right to withdraw application. </w:t>
      </w:r>
      <w:r>
        <w:rPr>
          <w:rFonts w:ascii="Times New Roman" w:hAnsi="Times New Roman"/>
          <w:b w:val="false"/>
          <w:i w:val="false"/>
          <w:color w:val="000000"/>
          <w:sz w:val="22"/>
        </w:rPr>
        <w:t>After an application has been filed, the applicant may withdraw the application at any time prior to the eligibility determination. Requests for voluntary withdrawal of the application will be documented, and the applicant will be sent a notice of decision confirming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86.3(4)</w:t>
      </w:r>
      <w:r>
        <w:rPr>
          <w:rFonts w:ascii="Times New Roman" w:hAnsi="Times New Roman"/>
          <w:b w:val="false"/>
          <w:i w:val="false"/>
          <w:color w:val="000000"/>
          <w:sz w:val="22"/>
        </w:rPr>
        <w:t> </w:t>
      </w:r>
      <w:r>
        <w:rPr>
          <w:rFonts w:ascii="Times New Roman" w:hAnsi="Times New Roman"/>
          <w:b w:val="false"/>
          <w:i/>
          <w:color w:val="000000"/>
          <w:sz w:val="22"/>
        </w:rPr>
        <w:t xml:space="preserve">Application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will not be required when a child becomes ineligible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will not be required when an eligible child is added to an existing hawki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application will not be required when a child moves between supplemental dental-only coverage as specified in rule </w:t>
      </w:r>
      <w:hyperlink r:id="rId21">
        <w:r>
          <w:rPr>
            <w:rStyle w:val="Hyperlink"/>
            <w:rFonts w:ascii="Times New Roman" w:hAnsi="Times New Roman"/>
            <w:b w:val="false"/>
            <w:i w:val="false"/>
            <w:color w:val="000000"/>
            <w:sz w:val="22"/>
          </w:rPr>
          <w:t>441—86.20</w:t>
        </w:r>
      </w:hyperlink>
      <w:r>
        <w:rPr>
          <w:rFonts w:ascii="Times New Roman" w:hAnsi="Times New Roman"/>
          <w:b w:val="false"/>
          <w:i w:val="false"/>
          <w:color w:val="000000"/>
          <w:sz w:val="22"/>
        </w:rPr>
        <w:t>(514I) and full medical and dental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86.3(5)</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verification procedure. </w:t>
      </w:r>
      <w:r>
        <w:rPr>
          <w:rFonts w:ascii="Times New Roman" w:hAnsi="Times New Roman"/>
          <w:b w:val="false"/>
          <w:i w:val="false"/>
          <w:color w:val="000000"/>
          <w:sz w:val="22"/>
        </w:rPr>
        <w:t>The eligibility decision will be based primarily on information furnished by the applicant, enrollee, or person acting on behalf of the applicant or enrollee and verified through electronic data matches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enrollee, or person acting on behalf of the applicant or enrollee will be notified in writing of additional information or verification that is required to establish eligibility. The notice may be provided personally, by U.S. mail, by email, or by facsimile.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supply the information or verification or refusal to authorize the department to secure the information will be a basis for rejection of the application or cancellation of coverage. If the requested information or authorization is received within 14 calendar days of the notice of decision on an application or within 14 calendar days of the effective date of cancellation for enrollees, the information or authorization will be acted upon as though it had been provided timely. If the fourteenth calendar day falls on a weekend or state holiday, the applicant or enrollee shall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enrollee, or person acting on behalf of the applicant or enrollee will have 10 working days to supply the information or verification requested. The due date may be extended for a reasonable period when the applicant, enrollee, or person acting on behalf of the applicant or enrollee is making every effort but is unable to secure the required information or verification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86.3(6)</w:t>
      </w:r>
      <w:r>
        <w:rPr>
          <w:rFonts w:ascii="Times New Roman" w:hAnsi="Times New Roman"/>
          <w:b w:val="false"/>
          <w:i w:val="false"/>
          <w:color w:val="000000"/>
          <w:sz w:val="22"/>
        </w:rPr>
        <w:t> </w:t>
      </w:r>
      <w:r>
        <w:rPr>
          <w:rFonts w:ascii="Times New Roman" w:hAnsi="Times New Roman"/>
          <w:b w:val="false"/>
          <w:i/>
          <w:color w:val="000000"/>
          <w:sz w:val="22"/>
        </w:rPr>
        <w:t xml:space="preserve">Time limit for decision. </w:t>
      </w:r>
      <w:r>
        <w:rPr>
          <w:rFonts w:ascii="Times New Roman" w:hAnsi="Times New Roman"/>
          <w:b w:val="false"/>
          <w:i w:val="false"/>
          <w:color w:val="000000"/>
          <w:sz w:val="22"/>
        </w:rPr>
        <w:t>Decisions regarding the applicant’s eligibility to participate in the hawki program will be made within 45 working days from the date of receiving the completed application and all necessary information and verification unless the application cannot be processed for reasons beyond the control of the department. Day one of the 45-day period starts the first working day following the date of receipt of a completed application and all necessary information and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86.3(7)</w:t>
      </w:r>
      <w:r>
        <w:rPr>
          <w:rFonts w:ascii="Times New Roman" w:hAnsi="Times New Roman"/>
          <w:b w:val="false"/>
          <w:i w:val="false"/>
          <w:color w:val="000000"/>
          <w:sz w:val="22"/>
        </w:rPr>
        <w:t> </w:t>
      </w:r>
      <w:r>
        <w:rPr>
          <w:rFonts w:ascii="Times New Roman" w:hAnsi="Times New Roman"/>
          <w:b w:val="false"/>
          <w:i/>
          <w:color w:val="000000"/>
          <w:sz w:val="22"/>
        </w:rPr>
        <w:t xml:space="preserve">Applicant cooperation. </w:t>
      </w:r>
      <w:r>
        <w:rPr>
          <w:rFonts w:ascii="Times New Roman" w:hAnsi="Times New Roman"/>
          <w:b w:val="false"/>
          <w:i w:val="false"/>
          <w:color w:val="000000"/>
          <w:sz w:val="22"/>
        </w:rPr>
        <w:t>An applicant must cooperate with the department in the application process, which may include providing verification or signing documents. Failure to cooperate with the application process shall serve as basis for a denial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86.3(8)</w:t>
      </w:r>
      <w:r>
        <w:rPr>
          <w:rFonts w:ascii="Times New Roman" w:hAnsi="Times New Roman"/>
          <w:b w:val="false"/>
          <w:i w:val="false"/>
          <w:color w:val="000000"/>
          <w:sz w:val="22"/>
        </w:rPr>
        <w:t> </w:t>
      </w:r>
      <w:r>
        <w:rPr>
          <w:rFonts w:ascii="Times New Roman" w:hAnsi="Times New Roman"/>
          <w:b w:val="false"/>
          <w:i/>
          <w:color w:val="000000"/>
          <w:sz w:val="22"/>
        </w:rPr>
        <w:t xml:space="preserve">Waiting lists. </w:t>
      </w:r>
      <w:r>
        <w:rPr>
          <w:rFonts w:ascii="Times New Roman" w:hAnsi="Times New Roman"/>
          <w:b w:val="false"/>
          <w:i w:val="false"/>
          <w:color w:val="000000"/>
          <w:sz w:val="22"/>
        </w:rPr>
        <w:t>When the department has established that all  the funds appropriated for this program are obligated, all subsequent applications for hawki coverage will be denied unless Medicaid eligibility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mail a notice of decision to the applicant that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meets the eligibility requirements but that no funds are available and that the applicant will be placed on a waiting 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meet eligibility requirements, in which case the applicant will not be put on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an applicant’s being denied or placed on the waiting list, it must be established that the child is not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be placed on the waiting list on the basis of the date an identifiable application form specified in rule </w:t>
      </w:r>
      <w:hyperlink r:id="rId22">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on the same day, applicants will be placed on the waiting list on the basis of the day of the month of the oldest child’s birthday, the lowest number being first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subsequent ties will be determined by the month of birth of the oldest child,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funds become available, applicants will be selected from the waiting list based on the order in which their names appear on the list and will be notified of their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being notified of the availability of funding, the applicant shall have 15 working days to confirm the applicant’s continued interest in applying for the program and to provide any information necessary to establish eligibility. If the applicant does not confirm continued interest in applying for the program and does not provide any additional information necessary to establish eligibility within 15 working days, the applicant’s name will be deleted from the waiting list and the next applicant on the waiting list will be contacted.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441—86.4</w:t>
      </w:r>
      <w:r>
        <w:rPr>
          <w:rFonts w:ascii="Times New Roman" w:hAnsi="Times New Roman"/>
          <w:b/>
          <w:i w:val="false"/>
          <w:color w:val="000000"/>
          <w:sz w:val="22"/>
        </w:rPr>
        <w:t xml:space="preserve">(514I) </w:t>
      </w:r>
      <w:r>
        <w:rPr>
          <w:rFonts w:ascii="Times New Roman" w:hAnsi="Times New Roman"/>
          <w:b/>
          <w:i w:val="false"/>
          <w:color w:val="000000"/>
          <w:sz w:val="22"/>
        </w:rPr>
        <w:t xml:space="preserve">Coordination with Medicaid.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86.4(1)</w:t>
      </w:r>
      <w:r>
        <w:rPr>
          <w:rFonts w:ascii="Times New Roman" w:hAnsi="Times New Roman"/>
          <w:b w:val="false"/>
          <w:i w:val="false"/>
          <w:color w:val="000000"/>
          <w:sz w:val="22"/>
        </w:rPr>
        <w:t> </w:t>
      </w:r>
      <w:r>
        <w:rPr>
          <w:rFonts w:ascii="Times New Roman" w:hAnsi="Times New Roman"/>
          <w:b w:val="false"/>
          <w:i/>
          <w:color w:val="000000"/>
          <w:sz w:val="22"/>
        </w:rPr>
        <w:t xml:space="preserve">Hawki applicant eligible for Medicaid. </w:t>
      </w:r>
      <w:r>
        <w:rPr>
          <w:rFonts w:ascii="Times New Roman" w:hAnsi="Times New Roman"/>
          <w:b w:val="false"/>
          <w:i w:val="false"/>
          <w:color w:val="000000"/>
          <w:sz w:val="22"/>
        </w:rPr>
        <w:t xml:space="preserve">At the time of initial application, if it is determined the child is eligible for Medicaid in accordance with the provisions of rule </w:t>
      </w:r>
      <w:hyperlink r:id="rId23">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spenddown under the medically needy program at </w:t>
      </w:r>
      <w:hyperlink r:id="rId24">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will be enrolled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86.4(2)</w:t>
      </w:r>
      <w:r>
        <w:rPr>
          <w:rFonts w:ascii="Times New Roman" w:hAnsi="Times New Roman"/>
          <w:b w:val="false"/>
          <w:i w:val="false"/>
          <w:color w:val="000000"/>
          <w:sz w:val="22"/>
        </w:rPr>
        <w:t> </w:t>
      </w:r>
      <w:r>
        <w:rPr>
          <w:rFonts w:ascii="Times New Roman" w:hAnsi="Times New Roman"/>
          <w:b w:val="false"/>
          <w:i/>
          <w:color w:val="000000"/>
          <w:sz w:val="22"/>
        </w:rPr>
        <w:t xml:space="preserve">Hawki enrollee eligible for Medicaid. </w:t>
      </w:r>
      <w:r>
        <w:rPr>
          <w:rFonts w:ascii="Times New Roman" w:hAnsi="Times New Roman"/>
          <w:b w:val="false"/>
          <w:i w:val="false"/>
          <w:color w:val="000000"/>
          <w:sz w:val="22"/>
        </w:rPr>
        <w:t xml:space="preserve">At the time of the annual review, if the child is determined eligible for Medicaid in accordance with the provisions of rule </w:t>
      </w:r>
      <w:hyperlink r:id="rId2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spenddown under the medically needy program at </w:t>
      </w:r>
      <w:hyperlink r:id="rId26">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will be enrolled in Medicaid effective the first day following the expiration of the 12-month hawki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86.4(3)</w:t>
      </w:r>
      <w:r>
        <w:rPr>
          <w:rFonts w:ascii="Times New Roman" w:hAnsi="Times New Roman"/>
          <w:b w:val="false"/>
          <w:i w:val="false"/>
          <w:color w:val="000000"/>
          <w:sz w:val="22"/>
        </w:rPr>
        <w:t> </w:t>
      </w:r>
      <w:r>
        <w:rPr>
          <w:rFonts w:ascii="Times New Roman" w:hAnsi="Times New Roman"/>
          <w:b w:val="false"/>
          <w:i/>
          <w:color w:val="000000"/>
          <w:sz w:val="22"/>
        </w:rPr>
        <w:t xml:space="preserve">Medicaid member becomes ineligible. </w:t>
      </w:r>
      <w:r>
        <w:rPr>
          <w:rFonts w:ascii="Times New Roman" w:hAnsi="Times New Roman"/>
          <w:b w:val="false"/>
          <w:i w:val="false"/>
          <w:color w:val="000000"/>
          <w:sz w:val="22"/>
        </w:rPr>
        <w:t xml:space="preserve">If a child becomes ineligible for Medicaid under the provisions of rule </w:t>
      </w:r>
      <w:hyperlink r:id="rId27">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 down under the medically needy program at </w:t>
      </w:r>
      <w:hyperlink r:id="rId28">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will be enrolled in the hawki program if otherwise 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441—86.5</w:t>
      </w:r>
      <w:r>
        <w:rPr>
          <w:rFonts w:ascii="Times New Roman" w:hAnsi="Times New Roman"/>
          <w:b/>
          <w:i w:val="false"/>
          <w:color w:val="000000"/>
          <w:sz w:val="22"/>
        </w:rPr>
        <w:t xml:space="preserve">(514I) </w:t>
      </w:r>
      <w:r>
        <w:rPr>
          <w:rFonts w:ascii="Times New Roman" w:hAnsi="Times New Roman"/>
          <w:b/>
          <w:i w:val="false"/>
          <w:color w:val="000000"/>
          <w:sz w:val="22"/>
        </w:rPr>
        <w:t xml:space="preserve">Effective date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 xml:space="preserve">Coverage for a child who is determined eligible for the hawki program on the basis of an initial application for either hawki or Medicaid will be effective the first day of the month following the month in which the application is filed, regardless of the day of the month the application is filed. However, when the child does not meet the provisions of paragraph </w:t>
      </w:r>
      <w:hyperlink r:id="rId29">
        <w:r>
          <w:rPr>
            <w:rStyle w:val="Hyperlink"/>
            <w:rFonts w:ascii="Times New Roman" w:hAnsi="Times New Roman"/>
            <w:b w:val="false"/>
            <w:i w:val="false"/>
            <w:color w:val="000000"/>
            <w:sz w:val="22"/>
          </w:rPr>
          <w:t>86.2(4)</w:t>
        </w:r>
      </w:hyperlink>
      <w:r>
        <w:rPr>
          <w:rFonts w:ascii="Times New Roman" w:hAnsi="Times New Roman"/>
          <w:b w:val="false"/>
          <w:i/>
          <w:color w:val="000000"/>
          <w:sz w:val="22"/>
        </w:rPr>
        <w:t>“a,”</w:t>
      </w:r>
      <w:r>
        <w:rPr>
          <w:rFonts w:ascii="Times New Roman" w:hAnsi="Times New Roman"/>
          <w:b w:val="false"/>
          <w:i w:val="false"/>
          <w:color w:val="000000"/>
          <w:sz w:val="22"/>
        </w:rPr>
        <w:t xml:space="preserve"> coverage shall be effective the first day of the month following the month in which health insurance coverage is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86.5(2)</w:t>
      </w:r>
      <w:r>
        <w:rPr>
          <w:rFonts w:ascii="Times New Roman" w:hAnsi="Times New Roman"/>
          <w:b w:val="false"/>
          <w:i w:val="false"/>
          <w:color w:val="000000"/>
          <w:sz w:val="22"/>
        </w:rPr>
        <w:t> </w:t>
      </w:r>
      <w:r>
        <w:rPr>
          <w:rFonts w:ascii="Times New Roman" w:hAnsi="Times New Roman"/>
          <w:b w:val="false"/>
          <w:i/>
          <w:color w:val="000000"/>
          <w:sz w:val="22"/>
        </w:rPr>
        <w:t xml:space="preserve">Referrals from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Cancellation of Medicaid. Coverage for children who are determined eligible for the hawki program due to cancellation of Medicaid benefits will be effective the first day of the month after Medicaid eligibility is lost in order to ensure that there is no break in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lost Medicaid eligibility solely because of the loss of income disregards from the implementation of the modified adjusted gross income methodology, the child may be covered under the hawki program for up to 12 months following the loss of Medicaid eligibility, regardless of the presence of other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86.5(3)</w:t>
      </w:r>
      <w:r>
        <w:rPr>
          <w:rFonts w:ascii="Times New Roman" w:hAnsi="Times New Roman"/>
          <w:b w:val="false"/>
          <w:i w:val="false"/>
          <w:color w:val="000000"/>
          <w:sz w:val="22"/>
        </w:rPr>
        <w:t> </w:t>
      </w:r>
      <w:r>
        <w:rPr>
          <w:rFonts w:ascii="Times New Roman" w:hAnsi="Times New Roman"/>
          <w:b w:val="false"/>
          <w:i/>
          <w:color w:val="000000"/>
          <w:sz w:val="22"/>
        </w:rPr>
        <w:t xml:space="preserve">Annual renewals. </w:t>
      </w:r>
      <w:r>
        <w:rPr>
          <w:rFonts w:ascii="Times New Roman" w:hAnsi="Times New Roman"/>
          <w:b w:val="false"/>
          <w:i w:val="false"/>
          <w:color w:val="000000"/>
          <w:sz w:val="22"/>
        </w:rPr>
        <w:t>Coverage for children who are determined eligible for the hawki program on the basis of an annual renewal will be effective the first day of the month following the month in which the previous enrollment period 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86.5(4)</w:t>
      </w:r>
      <w:r>
        <w:rPr>
          <w:rFonts w:ascii="Times New Roman" w:hAnsi="Times New Roman"/>
          <w:b w:val="false"/>
          <w:i w:val="false"/>
          <w:color w:val="000000"/>
          <w:sz w:val="22"/>
        </w:rPr>
        <w:t> </w:t>
      </w:r>
      <w:r>
        <w:rPr>
          <w:rFonts w:ascii="Times New Roman" w:hAnsi="Times New Roman"/>
          <w:b w:val="false"/>
          <w:i/>
          <w:color w:val="000000"/>
          <w:sz w:val="22"/>
        </w:rPr>
        <w:t xml:space="preserve">Children added to an existing hawki enrollment period. </w:t>
      </w:r>
      <w:r>
        <w:rPr>
          <w:rFonts w:ascii="Times New Roman" w:hAnsi="Times New Roman"/>
          <w:b w:val="false"/>
          <w:i w:val="false"/>
          <w:color w:val="000000"/>
          <w:sz w:val="22"/>
        </w:rPr>
        <w:t>Coverage for children who are determined eligible for the hawki program on the basis of a request from the family to add the child to an existing enrollment period will be effective the first day of the month following the month in which the request was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441—86.6</w:t>
      </w:r>
      <w:r>
        <w:rPr>
          <w:rFonts w:ascii="Times New Roman" w:hAnsi="Times New Roman"/>
          <w:b/>
          <w:i w:val="false"/>
          <w:color w:val="000000"/>
          <w:sz w:val="22"/>
        </w:rPr>
        <w:t xml:space="preserve">(514I) </w:t>
      </w:r>
      <w:r>
        <w:rPr>
          <w:rFonts w:ascii="Times New Roman" w:hAnsi="Times New Roman"/>
          <w:b/>
          <w:i w:val="false"/>
          <w:color w:val="000000"/>
          <w:sz w:val="22"/>
        </w:rPr>
        <w:t xml:space="preserve">Selection of a plan. </w:t>
      </w:r>
      <w:r>
        <w:rPr>
          <w:rFonts w:ascii="Times New Roman" w:hAnsi="Times New Roman"/>
          <w:b w:val="false"/>
          <w:i w:val="false"/>
          <w:color w:val="000000"/>
          <w:sz w:val="22"/>
        </w:rPr>
        <w:t xml:space="preserve">Upon the child’s eligibility effective date, the child will be assigned to a health or dental plan using the department’s passive enrollment process. The enrollee may change plans only at the time of the annual review unless the provisions of paragraph </w:t>
      </w:r>
      <w:hyperlink r:id="rId30">
        <w:r>
          <w:rPr>
            <w:rStyle w:val="Hyperlink"/>
            <w:rFonts w:ascii="Times New Roman" w:hAnsi="Times New Roman"/>
            <w:b w:val="false"/>
            <w:i w:val="false"/>
            <w:color w:val="000000"/>
            <w:sz w:val="22"/>
          </w:rPr>
          <w:t>86.6(1)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subrule </w:t>
      </w:r>
      <w:hyperlink r:id="rId31">
        <w:r>
          <w:rPr>
            <w:rStyle w:val="Hyperlink"/>
            <w:rFonts w:ascii="Times New Roman" w:hAnsi="Times New Roman"/>
            <w:b w:val="false"/>
            <w:i w:val="false"/>
            <w:color w:val="000000"/>
            <w:sz w:val="22"/>
          </w:rPr>
          <w:t>86.6(2)</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86.6(1)</w:t>
      </w:r>
      <w:r>
        <w:rPr>
          <w:rFonts w:ascii="Times New Roman" w:hAnsi="Times New Roman"/>
          <w:b w:val="false"/>
          <w:i w:val="false"/>
          <w:color w:val="000000"/>
          <w:sz w:val="22"/>
        </w:rPr>
        <w:t> </w:t>
      </w:r>
      <w:r>
        <w:rPr>
          <w:rFonts w:ascii="Times New Roman" w:hAnsi="Times New Roman"/>
          <w:b w:val="false"/>
          <w:i/>
          <w:color w:val="000000"/>
          <w:sz w:val="22"/>
        </w:rPr>
        <w:t xml:space="preserve">Period of enrollment. </w:t>
      </w:r>
      <w:r>
        <w:rPr>
          <w:rFonts w:ascii="Times New Roman" w:hAnsi="Times New Roman"/>
          <w:b w:val="false"/>
          <w:i w:val="false"/>
          <w:color w:val="000000"/>
          <w:sz w:val="22"/>
        </w:rPr>
        <w:t>Once enrolled in a health or dental plan, the child will remain enrolled in the health or dental plan for a period of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 child may be enrolled in a plan for less than 12 months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disenrolled in accordance with the provisions of rule </w:t>
      </w:r>
      <w:hyperlink r:id="rId32">
        <w:r>
          <w:rPr>
            <w:rStyle w:val="Hyperlink"/>
            <w:rFonts w:ascii="Times New Roman" w:hAnsi="Times New Roman"/>
            <w:b w:val="false"/>
            <w:i w:val="false"/>
            <w:color w:val="000000"/>
            <w:sz w:val="22"/>
          </w:rPr>
          <w:t>441—86.7</w:t>
        </w:r>
      </w:hyperlink>
      <w:r>
        <w:rPr>
          <w:rFonts w:ascii="Times New Roman" w:hAnsi="Times New Roman"/>
          <w:b w:val="false"/>
          <w:i w:val="false"/>
          <w:color w:val="000000"/>
          <w:sz w:val="22"/>
        </w:rPr>
        <w:t>(514I). If a child is disenrolled from the health or dental plan and subsequently reapplies before the end of the original 12-month enrollment period, the child will be enrolled in the health or dental plan from which the child was originally disenrolled.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is added to an existing enrollment. When a family requests to add an eligible child, the child will be enrolled for the months remaining in the current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to change plans is accepted in accordance with paragraph </w:t>
      </w:r>
      <w:hyperlink r:id="rId33">
        <w:r>
          <w:rPr>
            <w:rStyle w:val="Hyperlink"/>
            <w:rFonts w:ascii="Times New Roman" w:hAnsi="Times New Roman"/>
            <w:b w:val="false"/>
            <w:i w:val="false"/>
            <w:color w:val="000000"/>
            <w:sz w:val="22"/>
          </w:rPr>
          <w:t>86.6(1)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to change plan. </w:t>
      </w:r>
      <w:r>
        <w:rPr>
          <w:rFonts w:ascii="Times New Roman" w:hAnsi="Times New Roman"/>
          <w:b w:val="false"/>
          <w:i w:val="false"/>
          <w:color w:val="000000"/>
          <w:sz w:val="22"/>
        </w:rPr>
        <w:t>An enrollee may ask to change the health or dental plan either verbally or in writing to the enrollment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90 days following the date of the enrollee’s initial enrollment with the health or dental plan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for cause. “Cause” as defined in </w:t>
      </w:r>
      <w:r>
        <w:rPr>
          <w:rFonts w:ascii="Times New Roman" w:hAnsi="Times New Roman"/>
          <w:b w:val="false"/>
          <w:i w:val="false"/>
          <w:color w:val="000000"/>
          <w:sz w:val="22"/>
        </w:rPr>
        <w:t>42 CFR 438.56(d)</w:t>
      </w:r>
      <w:r>
        <w:rPr>
          <w:rFonts w:ascii="Times New Roman" w:hAnsi="Times New Roman"/>
          <w:b w:val="false"/>
          <w:i w:val="false"/>
          <w:color w:val="000000"/>
          <w:sz w:val="22"/>
        </w:rPr>
        <w:t>(2) as amended to August 1, 2024,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enrollee moves out of the plan’s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Because of moral or religious objections, the plan does not cover the services the enrollee seeks.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enrollee needs related services (for example, a cesarean section and a tubal ligation) to be performed at the same time, not all related services are available within the network, and the enrollee’s primary care provider or another provider determines that receiving the services separately would subject the enrollee to unnecessary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reasons including but not limited to poor quality of care, lack of access to services covered under the contract, or lack of access to providers experienced in dealing with the enrollee’s health care needs.</w:t>
      </w:r>
    </w:p>
    <w:p>
      <w:pPr>
        <w:spacing w:before="0" w:after="0"/>
        <w:ind w:left="120"/>
        <w:jc w:val="both"/>
      </w:pPr>
      <w:r>
        <w:rPr>
          <w:rFonts w:ascii="Times New Roman" w:hAnsi="Times New Roman"/>
          <w:b w:val="false"/>
          <w:i w:val="false"/>
          <w:color w:val="000000"/>
          <w:sz w:val="22"/>
        </w:rPr>
        <w:t>All approved changes shall be made prospectively and shall be effective no later than the first day of the second month beginning after the date on which the change request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86.6(2)</w:t>
      </w:r>
      <w:r>
        <w:rPr>
          <w:rFonts w:ascii="Times New Roman" w:hAnsi="Times New Roman"/>
          <w:b w:val="false"/>
          <w:i w:val="false"/>
          <w:color w:val="000000"/>
          <w:sz w:val="22"/>
        </w:rPr>
        <w:t> </w:t>
      </w:r>
      <w:r>
        <w:rPr>
          <w:rFonts w:ascii="Times New Roman" w:hAnsi="Times New Roman"/>
          <w:b w:val="false"/>
          <w:i/>
          <w:color w:val="000000"/>
          <w:sz w:val="22"/>
        </w:rPr>
        <w:t xml:space="preserve">Child moves from the service area. </w:t>
      </w:r>
      <w:r>
        <w:rPr>
          <w:rFonts w:ascii="Times New Roman" w:hAnsi="Times New Roman"/>
          <w:b w:val="false"/>
          <w:i w:val="false"/>
          <w:color w:val="000000"/>
          <w:sz w:val="22"/>
        </w:rPr>
        <w:t>The child may be disenrolled from the health or dental plan when the child moves to an area of the state in which the health or dental plan does not have a provider network established. If the child is disenrolled, the child will be enrolled in a participating health or dental plan in the new location. The period of enrollment will be the number of months remaining in the original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86.6(3)</w:t>
      </w:r>
      <w:r>
        <w:rPr>
          <w:rFonts w:ascii="Times New Roman" w:hAnsi="Times New Roman"/>
          <w:b w:val="false"/>
          <w:i w:val="false"/>
          <w:color w:val="000000"/>
          <w:sz w:val="22"/>
        </w:rPr>
        <w:t> </w:t>
      </w:r>
      <w:r>
        <w:rPr>
          <w:rFonts w:ascii="Times New Roman" w:hAnsi="Times New Roman"/>
          <w:b w:val="false"/>
          <w:i/>
          <w:color w:val="000000"/>
          <w:sz w:val="22"/>
        </w:rPr>
        <w:t xml:space="preserve">Change at annual review. </w:t>
      </w:r>
      <w:r>
        <w:rPr>
          <w:rFonts w:ascii="Times New Roman" w:hAnsi="Times New Roman"/>
          <w:b w:val="false"/>
          <w:i w:val="false"/>
          <w:color w:val="000000"/>
          <w:sz w:val="22"/>
        </w:rPr>
        <w:t>If more than one health or dental plan is available at the time of the annual review of eligibility, the family may designate another plan either verbally or in writing to the enrollment broker. The child will remain enrolled in the current health or dental plan if the family does not notify the enrollment broker of a new health or dental plan choice by the end of the current 12-month enrollment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441—86.7</w:t>
      </w:r>
      <w:r>
        <w:rPr>
          <w:rFonts w:ascii="Times New Roman" w:hAnsi="Times New Roman"/>
          <w:b/>
          <w:i w:val="false"/>
          <w:color w:val="000000"/>
          <w:sz w:val="22"/>
        </w:rPr>
        <w:t xml:space="preserve">(514I) </w:t>
      </w:r>
      <w:r>
        <w:rPr>
          <w:rFonts w:ascii="Times New Roman" w:hAnsi="Times New Roman"/>
          <w:b/>
          <w:i w:val="false"/>
          <w:color w:val="000000"/>
          <w:sz w:val="22"/>
        </w:rPr>
        <w:t xml:space="preserve">Cancellation. </w:t>
      </w:r>
      <w:r>
        <w:rPr>
          <w:rFonts w:ascii="Times New Roman" w:hAnsi="Times New Roman"/>
          <w:b w:val="false"/>
          <w:i w:val="false"/>
          <w:color w:val="000000"/>
          <w:sz w:val="22"/>
        </w:rPr>
        <w:t>The child’s eligibility for the hawki program shall be canceled before the end of the 12-month enrollment period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child shall be canceled from the hawki program as of the first day of the month following the month in which the child attained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86.7(2)</w:t>
      </w:r>
      <w:r>
        <w:rPr>
          <w:rFonts w:ascii="Times New Roman" w:hAnsi="Times New Roman"/>
          <w:b w:val="false"/>
          <w:i w:val="false"/>
          <w:color w:val="000000"/>
          <w:sz w:val="22"/>
        </w:rPr>
        <w:t> </w:t>
      </w:r>
      <w:r>
        <w:rPr>
          <w:rFonts w:ascii="Times New Roman" w:hAnsi="Times New Roman"/>
          <w:b w:val="false"/>
          <w:i/>
          <w:color w:val="000000"/>
          <w:sz w:val="22"/>
        </w:rPr>
        <w:t xml:space="preserve">Iowa residence abandoned. </w:t>
      </w:r>
      <w:r>
        <w:rPr>
          <w:rFonts w:ascii="Times New Roman" w:hAnsi="Times New Roman"/>
          <w:b w:val="false"/>
          <w:i w:val="false"/>
          <w:color w:val="000000"/>
          <w:sz w:val="22"/>
        </w:rPr>
        <w:t xml:space="preserve">The child shall be canceled from the program as of the first day of the month following the month in which the child relocated to another state. Eligibility shall not be canceled when the child is temporarily absent from the state in accordance with the provisions of </w:t>
      </w:r>
      <w:hyperlink r:id="rId34">
        <w:r>
          <w:rPr>
            <w:rStyle w:val="Hyperlink"/>
            <w:rFonts w:ascii="Times New Roman" w:hAnsi="Times New Roman"/>
            <w:b w:val="false"/>
            <w:i w:val="false"/>
            <w:color w:val="000000"/>
            <w:sz w:val="22"/>
          </w:rPr>
          <w:t>441—subrule 75.10(2)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86.7(3)</w:t>
      </w:r>
      <w:r>
        <w:rPr>
          <w:rFonts w:ascii="Times New Roman" w:hAnsi="Times New Roman"/>
          <w:b w:val="false"/>
          <w:i w:val="false"/>
          <w:color w:val="000000"/>
          <w:sz w:val="22"/>
        </w:rPr>
        <w:t> </w:t>
      </w:r>
      <w:r>
        <w:rPr>
          <w:rFonts w:ascii="Times New Roman" w:hAnsi="Times New Roman"/>
          <w:b w:val="false"/>
          <w:i/>
          <w:color w:val="000000"/>
          <w:sz w:val="22"/>
        </w:rPr>
        <w:t xml:space="preserve">Eligible for Medicaid. </w:t>
      </w:r>
      <w:r>
        <w:rPr>
          <w:rFonts w:ascii="Times New Roman" w:hAnsi="Times New Roman"/>
          <w:b w:val="false"/>
          <w:i w:val="false"/>
          <w:color w:val="000000"/>
          <w:sz w:val="22"/>
        </w:rPr>
        <w:t>The child shall be canceled from the program as of the first day of the month following the month in which Medicaid eligibility is obtained. If there are months during which the child is covered by both the Medicaid and hawki programs, the hawki program shall be the primary payor and Medicaid shall be the payor of last resort.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86.7(4)</w:t>
      </w:r>
      <w:r>
        <w:rPr>
          <w:rFonts w:ascii="Times New Roman" w:hAnsi="Times New Roman"/>
          <w:b w:val="false"/>
          <w:i w:val="false"/>
          <w:color w:val="000000"/>
          <w:sz w:val="22"/>
        </w:rPr>
        <w:t> </w:t>
      </w:r>
      <w:r>
        <w:rPr>
          <w:rFonts w:ascii="Times New Roman" w:hAnsi="Times New Roman"/>
          <w:b w:val="false"/>
          <w:i/>
          <w:color w:val="000000"/>
          <w:sz w:val="22"/>
        </w:rPr>
        <w:t xml:space="preserve">Enrolled in other health insurance coverage. </w:t>
      </w:r>
      <w:r>
        <w:rPr>
          <w:rFonts w:ascii="Times New Roman" w:hAnsi="Times New Roman"/>
          <w:b w:val="false"/>
          <w:i w:val="false"/>
          <w:color w:val="000000"/>
          <w:sz w:val="22"/>
        </w:rPr>
        <w:t>The child shall be canceled from the program as of the first day of the month following the month in which the department is notified that the child has other health insurance coverage. If there are months during which the child is covered by both another insurance plan and the hawki program, the other insurance plan shall be the primary payor and hawki shall be the payor of last resort.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86.7(5)</w:t>
      </w:r>
      <w:r>
        <w:rPr>
          <w:rFonts w:ascii="Times New Roman" w:hAnsi="Times New Roman"/>
          <w:b w:val="false"/>
          <w:i w:val="false"/>
          <w:color w:val="000000"/>
          <w:sz w:val="22"/>
        </w:rPr>
        <w:t> </w:t>
      </w:r>
      <w:r>
        <w:rPr>
          <w:rFonts w:ascii="Times New Roman" w:hAnsi="Times New Roman"/>
          <w:b w:val="false"/>
          <w:i/>
          <w:color w:val="000000"/>
          <w:sz w:val="22"/>
        </w:rPr>
        <w:t xml:space="preserve">Admission to a public institution. </w:t>
      </w:r>
      <w:r>
        <w:rPr>
          <w:rFonts w:ascii="Times New Roman" w:hAnsi="Times New Roman"/>
          <w:b w:val="false"/>
          <w:i w:val="false"/>
          <w:color w:val="000000"/>
          <w:sz w:val="22"/>
        </w:rPr>
        <w:t>The child shall be canceled from the program if the child is in a public institution at the time of the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86.7(6)</w:t>
      </w:r>
      <w:r>
        <w:rPr>
          <w:rFonts w:ascii="Times New Roman" w:hAnsi="Times New Roman"/>
          <w:b w:val="false"/>
          <w:i w:val="false"/>
          <w:color w:val="000000"/>
          <w:sz w:val="22"/>
        </w:rPr>
        <w:t> </w:t>
      </w:r>
      <w:r>
        <w:rPr>
          <w:rFonts w:ascii="Times New Roman" w:hAnsi="Times New Roman"/>
          <w:b w:val="false"/>
          <w:i/>
          <w:color w:val="000000"/>
          <w:sz w:val="22"/>
        </w:rPr>
        <w:t xml:space="preserve">Admission to an institution for mental disease. </w:t>
      </w:r>
      <w:r>
        <w:rPr>
          <w:rFonts w:ascii="Times New Roman" w:hAnsi="Times New Roman"/>
          <w:b w:val="false"/>
          <w:i w:val="false"/>
          <w:color w:val="000000"/>
          <w:sz w:val="22"/>
        </w:rPr>
        <w:t>The child shall be canceled from the program if the child is a patient in an institution for mental disease at the time of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86.7(7)</w:t>
      </w:r>
      <w:r>
        <w:rPr>
          <w:rFonts w:ascii="Times New Roman" w:hAnsi="Times New Roman"/>
          <w:b w:val="false"/>
          <w:i w:val="false"/>
          <w:color w:val="000000"/>
          <w:sz w:val="22"/>
        </w:rPr>
        <w:t> </w:t>
      </w:r>
      <w:r>
        <w:rPr>
          <w:rFonts w:ascii="Times New Roman" w:hAnsi="Times New Roman"/>
          <w:b w:val="false"/>
          <w:i/>
          <w:color w:val="000000"/>
          <w:sz w:val="22"/>
        </w:rPr>
        <w:t xml:space="preserve">Employment with the state of Iowa. </w:t>
      </w:r>
      <w:r>
        <w:rPr>
          <w:rFonts w:ascii="Times New Roman" w:hAnsi="Times New Roman"/>
          <w:b w:val="false"/>
          <w:i w:val="false"/>
          <w:color w:val="000000"/>
          <w:sz w:val="22"/>
        </w:rPr>
        <w:t>The child shall be canceled from the hawki program as of the first day of the month in which the child’s parent became eligible to participate in a health or dental plan available to state of Iowa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441—86.8</w:t>
      </w:r>
      <w:r>
        <w:rPr>
          <w:rFonts w:ascii="Times New Roman" w:hAnsi="Times New Roman"/>
          <w:b/>
          <w:i w:val="false"/>
          <w:color w:val="000000"/>
          <w:sz w:val="22"/>
        </w:rPr>
        <w:t xml:space="preserve">(514I) </w:t>
      </w:r>
      <w:r>
        <w:rPr>
          <w:rFonts w:ascii="Times New Roman" w:hAnsi="Times New Roman"/>
          <w:b/>
          <w:i w:val="false"/>
          <w:color w:val="000000"/>
          <w:sz w:val="22"/>
        </w:rPr>
        <w:t xml:space="preserve">Premiums and copayments.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86.8(1)</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w:t>
      </w:r>
      <w:r>
        <w:rPr>
          <w:rFonts w:ascii="Times New Roman" w:hAnsi="Times New Roman"/>
          <w:b w:val="false"/>
          <w:i w:val="false"/>
          <w:color w:val="000000"/>
          <w:sz w:val="22"/>
        </w:rPr>
        <w:t>The income considered in determining the premium amount will be the family’s countable income using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86.8(2)</w:t>
      </w:r>
      <w:r>
        <w:rPr>
          <w:rFonts w:ascii="Times New Roman" w:hAnsi="Times New Roman"/>
          <w:b w:val="false"/>
          <w:i w:val="false"/>
          <w:color w:val="000000"/>
          <w:sz w:val="22"/>
        </w:rPr>
        <w:t> </w:t>
      </w:r>
      <w:r>
        <w:rPr>
          <w:rFonts w:ascii="Times New Roman" w:hAnsi="Times New Roman"/>
          <w:b w:val="false"/>
          <w:i/>
          <w:color w:val="000000"/>
          <w:sz w:val="22"/>
        </w:rPr>
        <w:t xml:space="preserve">Premium amount. </w:t>
      </w:r>
      <w:r>
        <w:rPr>
          <w:rFonts w:ascii="Times New Roman" w:hAnsi="Times New Roman"/>
          <w:b w:val="false"/>
          <w:i w:val="false"/>
          <w:color w:val="000000"/>
          <w:sz w:val="22"/>
        </w:rPr>
        <w:t xml:space="preserve">Except as specified for supplemental dental-only coverage in subrule </w:t>
      </w:r>
      <w:hyperlink r:id="rId35">
        <w:r>
          <w:rPr>
            <w:rStyle w:val="Hyperlink"/>
            <w:rFonts w:ascii="Times New Roman" w:hAnsi="Times New Roman"/>
            <w:b w:val="false"/>
            <w:i w:val="false"/>
            <w:color w:val="000000"/>
            <w:sz w:val="22"/>
          </w:rPr>
          <w:t>86.20(3)</w:t>
        </w:r>
      </w:hyperlink>
      <w:r>
        <w:rPr>
          <w:rFonts w:ascii="Times New Roman" w:hAnsi="Times New Roman"/>
          <w:b w:val="false"/>
          <w:i w:val="false"/>
          <w:color w:val="000000"/>
          <w:sz w:val="22"/>
        </w:rPr>
        <w:t>, premiums under the hawki program will be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premium is charged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eligible child is an American Indian or Alaska Native;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family’s countable income is less than 181 percent of the federal poverty level for a family of the same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181 percent of the federal poverty level for a family of the same size but does not exceed 242 percent of the federal poverty level for a family of that size, the premium is $10 per child per month with a $20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243 percent of the federal poverty level for a family of the same size, the premium is $20 per child per month with a $40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86.8(3)</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Payment upon initial application. </w:t>
      </w:r>
      <w:r>
        <w:rPr>
          <w:rFonts w:ascii="Times New Roman" w:hAnsi="Times New Roman"/>
          <w:b w:val="false"/>
          <w:i w:val="false"/>
          <w:color w:val="000000"/>
          <w:sz w:val="22"/>
        </w:rPr>
        <w:t>Upon approval of an initial application, the first month for which a premium is due is the third month following the month of decision. The due date of the first premium shall be the fifth day of the second month following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upon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approval of a renewal, the first month for which a premium is due is the first month of the enrollment period. The premium for the first month of the enrollment period shall be due by the fifth day of the month before the month of coverage or the tenth business day following the date of decision,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premium is received, the department will notify the health and dental plans of the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Subsequent payments. </w:t>
      </w:r>
      <w:r>
        <w:rPr>
          <w:rFonts w:ascii="Times New Roman" w:hAnsi="Times New Roman"/>
          <w:b w:val="false"/>
          <w:i w:val="false"/>
          <w:color w:val="000000"/>
          <w:sz w:val="22"/>
        </w:rPr>
        <w:t>All subsequent premiums are due by the fifth day of each month for the next month’s coverage. Premiums may be paid in advance (e.g., on a quarterly or semiannual basis) rather than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Holiday or weekend. </w:t>
      </w:r>
      <w:r>
        <w:rPr>
          <w:rFonts w:ascii="Times New Roman" w:hAnsi="Times New Roman"/>
          <w:b w:val="false"/>
          <w:i w:val="false"/>
          <w:color w:val="000000"/>
          <w:sz w:val="22"/>
        </w:rPr>
        <w:t>When the premium due date falls on a holiday or weekend, the premium shall be due on the first business day following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86.8(4)</w:t>
      </w: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A grace period will be allowed on any monthly premium not received as prescribed in paragraph </w:t>
      </w:r>
      <w:hyperlink r:id="rId36">
        <w:r>
          <w:rPr>
            <w:rStyle w:val="Hyperlink"/>
            <w:rFonts w:ascii="Times New Roman" w:hAnsi="Times New Roman"/>
            <w:b w:val="false"/>
            <w:i w:val="false"/>
            <w:color w:val="000000"/>
            <w:sz w:val="22"/>
          </w:rPr>
          <w:t>86.8(3)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grace period will be the month immediately following the last month for which the premium has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submit a premium by the last calendar day of the grace period will result in disenrollment.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premium for the grace period and the premium for the following month’s coverage are subsequently received within 45 calendar days following the last calendar day of the grace period, coverage will be reinstated, effective the first day of the calendar month following the grace period, without the need to reapply for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86.8(5)</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Premiums may be submitted in the form of cash, personal checks, electronic funds transfers (EFT), or other methods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86.8(6)</w:t>
      </w: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There will be a $25 copayment for each emergency room visit if the child’s medical condition does not meet the definition of emergency medical condition. A copayment will not be imposed when family income is less than 181 percent of the federal poverty level for a family of the same size or when the child is an eligible American Indian or Alaska Native.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441—86.9</w:t>
      </w:r>
      <w:r>
        <w:rPr>
          <w:rFonts w:ascii="Times New Roman" w:hAnsi="Times New Roman"/>
          <w:b/>
          <w:i w:val="false"/>
          <w:color w:val="000000"/>
          <w:sz w:val="22"/>
        </w:rPr>
        <w:t xml:space="preserve">(514I) </w:t>
      </w:r>
      <w:r>
        <w:rPr>
          <w:rFonts w:ascii="Times New Roman" w:hAnsi="Times New Roman"/>
          <w:b/>
          <w:i w:val="false"/>
          <w:color w:val="000000"/>
          <w:sz w:val="22"/>
        </w:rPr>
        <w:t xml:space="preserve">Annual reviews of eligibility. </w:t>
      </w:r>
      <w:r>
        <w:rPr>
          <w:rFonts w:ascii="Times New Roman" w:hAnsi="Times New Roman"/>
          <w:b w:val="false"/>
          <w:i w:val="false"/>
          <w:color w:val="000000"/>
          <w:sz w:val="22"/>
        </w:rPr>
        <w:t>All eligibility factors will be reviewed at least every 12 months to establish ongoing eligibility for the program. “Month one” will be the first month in which coverage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86.9(1)</w:t>
      </w:r>
      <w:r>
        <w:rPr>
          <w:rFonts w:ascii="Times New Roman" w:hAnsi="Times New Roman"/>
          <w:b w:val="false"/>
          <w:i w:val="false"/>
          <w:color w:val="000000"/>
          <w:sz w:val="22"/>
        </w:rPr>
        <w:t> </w:t>
      </w:r>
      <w:r>
        <w:rPr>
          <w:rFonts w:ascii="Times New Roman" w:hAnsi="Times New Roman"/>
          <w:b w:val="false"/>
          <w:i/>
          <w:color w:val="000000"/>
          <w:sz w:val="22"/>
        </w:rPr>
        <w:t xml:space="preserve">Review form. </w:t>
      </w:r>
      <w:r>
        <w:rPr>
          <w:rFonts w:ascii="Times New Roman" w:hAnsi="Times New Roman"/>
          <w:b w:val="false"/>
          <w:i w:val="false"/>
          <w:color w:val="000000"/>
          <w:sz w:val="22"/>
        </w:rPr>
        <w:t>The department will send the family a prepopulated review form on which the answers, except for income, have been completed based on the information on file. The family shall review the completed information for accuracy and fill in the income section of the form. If family income cannot be verified through electronic data matches, the family shall be required to provide verification of current income. The family shall sign and date the form attesting to its accuracy as part of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86.9(2)</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information. </w:t>
      </w:r>
      <w:r>
        <w:rPr>
          <w:rFonts w:ascii="Times New Roman" w:hAnsi="Times New Roman"/>
          <w:b w:val="false"/>
          <w:i w:val="false"/>
          <w:color w:val="000000"/>
          <w:sz w:val="22"/>
        </w:rPr>
        <w:t>The child shall not be enrolled for the next 12-month period if the family fails to provide information and verification of income or otherwise fails to cooperate in the annual review process. If the completed review form and any information necessary to establish continued eligibility are received within 14 calendar days of the end of an enrollment period, the review form and information will be acted upon as though they had been received timely. If the fourteenth calendar day falls on a weekend or state holiday, the enrollee shall have until the next business day to provide the review form and any information necessary to establish continued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441—86.10</w:t>
      </w:r>
      <w:r>
        <w:rPr>
          <w:rFonts w:ascii="Times New Roman" w:hAnsi="Times New Roman"/>
          <w:b/>
          <w:i w:val="false"/>
          <w:color w:val="000000"/>
          <w:sz w:val="22"/>
        </w:rPr>
        <w:t xml:space="preserve">(514I) </w:t>
      </w:r>
      <w:r>
        <w:rPr>
          <w:rFonts w:ascii="Times New Roman" w:hAnsi="Times New Roman"/>
          <w:b/>
          <w:i w:val="false"/>
          <w:color w:val="000000"/>
          <w:sz w:val="22"/>
        </w:rPr>
        <w:t xml:space="preserve">Reporting changes. </w:t>
      </w:r>
      <w:r>
        <w:rPr>
          <w:rFonts w:ascii="Times New Roman" w:hAnsi="Times New Roman"/>
          <w:b w:val="false"/>
          <w:i w:val="false"/>
          <w:color w:val="000000"/>
          <w:sz w:val="22"/>
        </w:rPr>
        <w:t>Changes that may affect eligibility shall be reported timely to the department. “Timely” shall mean no later than ten working days after the change occurred. The ten working-day period begins the first working day following the date of the change. The parent, guardian, or other adult responsible for the child shall report the change unless the child is emancipated, married, or otherwise in an independent living situation, in which case the child shall be responsible for reporting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86.10(1)</w:t>
      </w:r>
      <w:r>
        <w:rPr>
          <w:rFonts w:ascii="Times New Roman" w:hAnsi="Times New Roman"/>
          <w:b w:val="false"/>
          <w:i w:val="false"/>
          <w:color w:val="000000"/>
          <w:sz w:val="22"/>
        </w:rPr>
        <w:t> </w:t>
      </w:r>
      <w:r>
        <w:rPr>
          <w:rFonts w:ascii="Times New Roman" w:hAnsi="Times New Roman"/>
          <w:b w:val="false"/>
          <w:i/>
          <w:color w:val="000000"/>
          <w:sz w:val="22"/>
        </w:rPr>
        <w:t xml:space="preserve">Iowa residence is abandoned. </w:t>
      </w:r>
      <w:r>
        <w:rPr>
          <w:rFonts w:ascii="Times New Roman" w:hAnsi="Times New Roman"/>
          <w:b w:val="false"/>
          <w:i w:val="false"/>
          <w:color w:val="000000"/>
          <w:sz w:val="22"/>
        </w:rPr>
        <w:t>The abandonment of Iowa residence shall be reported following the move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86.10(2)</w:t>
      </w:r>
      <w:r>
        <w:rPr>
          <w:rFonts w:ascii="Times New Roman" w:hAnsi="Times New Roman"/>
          <w:b w:val="false"/>
          <w:i w:val="false"/>
          <w:color w:val="000000"/>
          <w:sz w:val="22"/>
        </w:rPr>
        <w:t> </w:t>
      </w:r>
      <w:r>
        <w:rPr>
          <w:rFonts w:ascii="Times New Roman" w:hAnsi="Times New Roman"/>
          <w:b w:val="false"/>
          <w:i/>
          <w:color w:val="000000"/>
          <w:sz w:val="22"/>
        </w:rPr>
        <w:t xml:space="preserve">Other insurance coverage. </w:t>
      </w:r>
      <w:r>
        <w:rPr>
          <w:rFonts w:ascii="Times New Roman" w:hAnsi="Times New Roman"/>
          <w:b w:val="false"/>
          <w:i w:val="false"/>
          <w:color w:val="000000"/>
          <w:sz w:val="22"/>
        </w:rPr>
        <w:t>Enrollment of the child in other health insurance coverage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86.10(3)</w:t>
      </w:r>
      <w:r>
        <w:rPr>
          <w:rFonts w:ascii="Times New Roman" w:hAnsi="Times New Roman"/>
          <w:b w:val="false"/>
          <w:i w:val="false"/>
          <w:color w:val="000000"/>
          <w:sz w:val="22"/>
        </w:rPr>
        <w:t> </w:t>
      </w:r>
      <w:r>
        <w:rPr>
          <w:rFonts w:ascii="Times New Roman" w:hAnsi="Times New Roman"/>
          <w:b w:val="false"/>
          <w:i/>
          <w:color w:val="000000"/>
          <w:sz w:val="22"/>
        </w:rPr>
        <w:t xml:space="preserve">Decrease in income. </w:t>
      </w:r>
      <w:r>
        <w:rPr>
          <w:rFonts w:ascii="Times New Roman" w:hAnsi="Times New Roman"/>
          <w:b w:val="false"/>
          <w:i w:val="false"/>
          <w:color w:val="000000"/>
          <w:sz w:val="22"/>
        </w:rPr>
        <w:t xml:space="preserve">If the family reports a decrease in income, the department will ascertain whether the change affects the premium obligation of the family. If the change is such that the family is no longer required to pay a premium in accordance with the provisions of rule </w:t>
      </w:r>
      <w:hyperlink r:id="rId37">
        <w:r>
          <w:rPr>
            <w:rStyle w:val="Hyperlink"/>
            <w:rFonts w:ascii="Times New Roman" w:hAnsi="Times New Roman"/>
            <w:b w:val="false"/>
            <w:i w:val="false"/>
            <w:color w:val="000000"/>
            <w:sz w:val="22"/>
          </w:rPr>
          <w:t>441—86.8</w:t>
        </w:r>
      </w:hyperlink>
      <w:r>
        <w:rPr>
          <w:rFonts w:ascii="Times New Roman" w:hAnsi="Times New Roman"/>
          <w:b w:val="false"/>
          <w:i w:val="false"/>
          <w:color w:val="000000"/>
          <w:sz w:val="22"/>
        </w:rPr>
        <w:t>(514I), premiums will no longer be charged beginning with the month following the month of the report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86.10(4)</w:t>
      </w:r>
      <w:r>
        <w:rPr>
          <w:rFonts w:ascii="Times New Roman" w:hAnsi="Times New Roman"/>
          <w:b w:val="false"/>
          <w:i w:val="false"/>
          <w:color w:val="000000"/>
          <w:sz w:val="22"/>
        </w:rPr>
        <w:t> </w:t>
      </w:r>
      <w:r>
        <w:rPr>
          <w:rFonts w:ascii="Times New Roman" w:hAnsi="Times New Roman"/>
          <w:b w:val="false"/>
          <w:i/>
          <w:color w:val="000000"/>
          <w:sz w:val="22"/>
        </w:rPr>
        <w:t xml:space="preserve">Information reported by a third party. </w:t>
      </w:r>
      <w:r>
        <w:rPr>
          <w:rFonts w:ascii="Times New Roman" w:hAnsi="Times New Roman"/>
          <w:b w:val="false"/>
          <w:i w:val="false"/>
          <w:color w:val="000000"/>
          <w:sz w:val="22"/>
        </w:rPr>
        <w:t xml:space="preserve">Information reported by a third party will not be acted upon until the information is verified in accordance with subrule </w:t>
      </w:r>
      <w:hyperlink r:id="rId38">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86.10(5)</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 xml:space="preserve">The provisions of subrule </w:t>
      </w:r>
      <w:hyperlink r:id="rId39">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 xml:space="preserve"> shall apply when a request for information or verification is made due to a change. In addition, failure of the enrollee or of the person acting on behalf of the enrollee to provide requested information or verification that may affect eligibility for the program shall result in cancellation and recoupment of all payments made by the department on behalf of the enrollee during the period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86.10(6)</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change in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change in circumstances has a positive effect on eligibility, the change in eligibility shall be effective no earlier than the month following the month in which the change in circumstances was reported, regardless of when the change was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in circumstances has an adverse effect on eligibility, the change in eligibility shall be effective no earlier than the month following the issuance of a timely notification, in accordance with the provisions of rule </w:t>
      </w:r>
      <w:hyperlink r:id="rId40">
        <w:r>
          <w:rPr>
            <w:rStyle w:val="Hyperlink"/>
            <w:rFonts w:ascii="Times New Roman" w:hAnsi="Times New Roman"/>
            <w:b w:val="false"/>
            <w:i w:val="false"/>
            <w:color w:val="000000"/>
            <w:sz w:val="22"/>
          </w:rPr>
          <w:t>441—86.11</w:t>
        </w:r>
      </w:hyperlink>
      <w:r>
        <w:rPr>
          <w:rFonts w:ascii="Times New Roman" w:hAnsi="Times New Roman"/>
          <w:b w:val="false"/>
          <w:i w:val="false"/>
          <w:color w:val="000000"/>
          <w:sz w:val="22"/>
        </w:rPr>
        <w:t>(514I). When the change in circumstances was not reported timely, as defined in this rule, benefits shall be recouped beginning with the month following the month in which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anticipated change in circumstances is reported before the change occurs, no action will be taken until the change actually occurs and is verified in accordance with the provisions of subrule </w:t>
      </w:r>
      <w:hyperlink r:id="rId41">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441—86.11</w:t>
      </w:r>
      <w:r>
        <w:rPr>
          <w:rFonts w:ascii="Times New Roman" w:hAnsi="Times New Roman"/>
          <w:b/>
          <w:i w:val="false"/>
          <w:color w:val="000000"/>
          <w:sz w:val="22"/>
        </w:rPr>
        <w:t xml:space="preserve">(514I) </w:t>
      </w:r>
      <w:r>
        <w:rPr>
          <w:rFonts w:ascii="Times New Roman" w:hAnsi="Times New Roman"/>
          <w:b/>
          <w:i w:val="false"/>
          <w:color w:val="000000"/>
          <w:sz w:val="22"/>
        </w:rPr>
        <w:t xml:space="preserve">Notice requirements. </w:t>
      </w:r>
      <w:r>
        <w:rPr>
          <w:rFonts w:ascii="Times New Roman" w:hAnsi="Times New Roman"/>
          <w:b w:val="false"/>
          <w:i w:val="false"/>
          <w:color w:val="000000"/>
          <w:sz w:val="22"/>
        </w:rPr>
        <w:t xml:space="preserve">The applicant will be provided an adequate written notice of the decision regarding the applicant’s eligibility for the hawki program. The enrollee will be notified in writing of any decision that adversely affects the enrollee’s eligibility or the amount of benefits. The notice will be timely and adequate as provided in rule </w:t>
      </w:r>
      <w:hyperlink r:id="rId42">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441—86.12</w:t>
      </w:r>
      <w:r>
        <w:rPr>
          <w:rFonts w:ascii="Times New Roman" w:hAnsi="Times New Roman"/>
          <w:b/>
          <w:i w:val="false"/>
          <w:color w:val="000000"/>
          <w:sz w:val="22"/>
        </w:rPr>
        <w:t xml:space="preserve">(514I) </w:t>
      </w:r>
      <w:r>
        <w:rPr>
          <w:rFonts w:ascii="Times New Roman" w:hAnsi="Times New Roman"/>
          <w:b/>
          <w:i w:val="false"/>
          <w:color w:val="000000"/>
          <w:sz w:val="22"/>
        </w:rPr>
        <w:t xml:space="preserve">Appeals and fair hearings. </w:t>
      </w:r>
      <w:r>
        <w:rPr>
          <w:rFonts w:ascii="Times New Roman" w:hAnsi="Times New Roman"/>
          <w:b w:val="false"/>
          <w:i w:val="false"/>
          <w:color w:val="000000"/>
          <w:sz w:val="22"/>
        </w:rPr>
        <w:t xml:space="preserve">If the applicant or enrollee disputes a decision to reduce, cancel or deny participation in the hawki program, the applicant or enrollee may appeal the decision in accordance with </w:t>
      </w:r>
      <w:hyperlink r:id="rId4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441—86.13</w:t>
      </w:r>
      <w:r>
        <w:rPr>
          <w:rFonts w:ascii="Times New Roman" w:hAnsi="Times New Roman"/>
          <w:b/>
          <w:i w:val="false"/>
          <w:color w:val="000000"/>
          <w:sz w:val="22"/>
        </w:rPr>
        <w:t xml:space="preserve">(514I) </w:t>
      </w:r>
      <w:r>
        <w:rPr>
          <w:rFonts w:ascii="Times New Roman" w:hAnsi="Times New Roman"/>
          <w:b/>
          <w:i w:val="false"/>
          <w:color w:val="000000"/>
          <w:sz w:val="22"/>
        </w:rPr>
        <w:t xml:space="preserve">Covered services. </w:t>
      </w:r>
      <w:r>
        <w:rPr>
          <w:rFonts w:ascii="Times New Roman" w:hAnsi="Times New Roman"/>
          <w:b w:val="false"/>
          <w:i w:val="false"/>
          <w:color w:val="000000"/>
          <w:sz w:val="22"/>
        </w:rPr>
        <w:t xml:space="preserve">The benefits provided under the hawki program shall meet a benchmark, benchmark equivalent, or benefit plan that complies with </w:t>
      </w:r>
      <w:r>
        <w:rPr>
          <w:rFonts w:ascii="Times New Roman" w:hAnsi="Times New Roman"/>
          <w:b w:val="false"/>
          <w:i w:val="false"/>
          <w:color w:val="000000"/>
          <w:sz w:val="22"/>
        </w:rPr>
        <w:t>Title XXI of the federal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86.13(1)</w:t>
      </w:r>
      <w:r>
        <w:rPr>
          <w:rFonts w:ascii="Times New Roman" w:hAnsi="Times New Roman"/>
          <w:b w:val="false"/>
          <w:i w:val="false"/>
          <w:color w:val="000000"/>
          <w:sz w:val="22"/>
        </w:rPr>
        <w:t> </w:t>
      </w:r>
      <w:r>
        <w:rPr>
          <w:rFonts w:ascii="Times New Roman" w:hAnsi="Times New Roman"/>
          <w:b w:val="false"/>
          <w:i/>
          <w:color w:val="000000"/>
          <w:sz w:val="22"/>
        </w:rPr>
        <w:t xml:space="preserve">Required medical services. </w:t>
      </w:r>
      <w:r>
        <w:rPr>
          <w:rFonts w:ascii="Times New Roman" w:hAnsi="Times New Roman"/>
          <w:b w:val="false"/>
          <w:i w:val="false"/>
          <w:color w:val="000000"/>
          <w:sz w:val="22"/>
        </w:rPr>
        <w:t>The participating health plan shall cover at a minimum the following medically necessary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Inpatient hospital services (including medical, surgical, intensive care unit, mental health, and substance abuse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 services (including surgical and medical, and including office visits, newborn care, well-baby and well-child care, immunizations, urgent care, specialist care, allergy testing and treatment, mental health visits, and substance abuse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Outpatient hospital services (including emergency room, surgery, lab, and x-ray services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Nursing care services (including skilled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Speech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Durable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Home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Hospice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Hearing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Vision services (including corrective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Translation and interpreter services as specified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1397ee(a)(1)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Chiropractic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86.13(2)</w:t>
      </w:r>
      <w:r>
        <w:rPr>
          <w:rFonts w:ascii="Times New Roman" w:hAnsi="Times New Roman"/>
          <w:b w:val="false"/>
          <w:i w:val="false"/>
          <w:color w:val="000000"/>
          <w:sz w:val="22"/>
        </w:rPr>
        <w:t> </w:t>
      </w:r>
      <w:r>
        <w:rPr>
          <w:rFonts w:ascii="Times New Roman" w:hAnsi="Times New Roman"/>
          <w:b w:val="false"/>
          <w:i/>
          <w:color w:val="000000"/>
          <w:sz w:val="22"/>
        </w:rPr>
        <w:t xml:space="preserve">Abortion. </w:t>
      </w:r>
      <w:r>
        <w:rPr>
          <w:rFonts w:ascii="Times New Roman" w:hAnsi="Times New Roman"/>
          <w:b w:val="false"/>
          <w:i w:val="false"/>
          <w:color w:val="000000"/>
          <w:sz w:val="22"/>
        </w:rPr>
        <w:t>Payment for abortion shall only be made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pregnant enrollee suffers from a physical disorder, physical injury, or physical illness, including a life-endangering physical condition caused by or arising from the pregnancy itself, that would place the enrollee in danger of death unless an abortion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an act of rape or incest.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86.13(3)</w:t>
      </w:r>
      <w:r>
        <w:rPr>
          <w:rFonts w:ascii="Times New Roman" w:hAnsi="Times New Roman"/>
          <w:b w:val="false"/>
          <w:i w:val="false"/>
          <w:color w:val="000000"/>
          <w:sz w:val="22"/>
        </w:rPr>
        <w:t> </w:t>
      </w:r>
      <w:r>
        <w:rPr>
          <w:rFonts w:ascii="Times New Roman" w:hAnsi="Times New Roman"/>
          <w:b w:val="false"/>
          <w:i/>
          <w:color w:val="000000"/>
          <w:sz w:val="22"/>
        </w:rPr>
        <w:t xml:space="preserve">Required dental services. </w:t>
      </w:r>
      <w:r>
        <w:rPr>
          <w:rFonts w:ascii="Times New Roman" w:hAnsi="Times New Roman"/>
          <w:b w:val="false"/>
          <w:i w:val="false"/>
          <w:color w:val="000000"/>
          <w:sz w:val="22"/>
        </w:rPr>
        <w:t>Participating dental plans shall cover at a minimum the following necessary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Diagnostic and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Routine and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Endodontic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Cast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Prosthetics.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441—86.14</w:t>
      </w:r>
      <w:r>
        <w:rPr>
          <w:rFonts w:ascii="Times New Roman" w:hAnsi="Times New Roman"/>
          <w:b/>
          <w:i w:val="false"/>
          <w:color w:val="000000"/>
          <w:sz w:val="22"/>
        </w:rPr>
        <w:t xml:space="preserve">(514I) </w:t>
      </w:r>
      <w:r>
        <w:rPr>
          <w:rFonts w:ascii="Times New Roman" w:hAnsi="Times New Roman"/>
          <w:b/>
          <w:i w:val="false"/>
          <w:color w:val="000000"/>
          <w:sz w:val="22"/>
        </w:rPr>
        <w:t xml:space="preserve">Participating health and dental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The participating health or dental plan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by the division of insurance of the department of insurance and financial services to provide health or dental care coverage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an organized delivery system licensed by the director to provide health or dental care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 xml:space="preserve">The participating health or dental plan shall provide coverage for the services specified in rule </w:t>
      </w:r>
      <w:hyperlink r:id="rId44">
        <w:r>
          <w:rPr>
            <w:rStyle w:val="Hyperlink"/>
            <w:rFonts w:ascii="Times New Roman" w:hAnsi="Times New Roman"/>
            <w:b w:val="false"/>
            <w:i w:val="false"/>
            <w:color w:val="000000"/>
            <w:sz w:val="22"/>
          </w:rPr>
          <w:t>441—86.13</w:t>
        </w:r>
      </w:hyperlink>
      <w:r>
        <w:rPr>
          <w:rFonts w:ascii="Times New Roman" w:hAnsi="Times New Roman"/>
          <w:b w:val="false"/>
          <w:i w:val="false"/>
          <w:color w:val="000000"/>
          <w:sz w:val="22"/>
        </w:rPr>
        <w:t>(514I) to all children determined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or dental plan shall make services it provides to hawki enrollees at least as accessible to the enrollees (in terms of timeliness, duration and scope) as those services are accessible to other commercial enrollees in the area served by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Participating health plans shall ensure that emergency services (inpatient and outpatient) are available for treatment of an emergency medical condition 24 hours a day, seven days a week, either through the health plan’s own providers or through arrangements with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participating health or dental plan does not provide statewide coverage, the health or dental plan shall participate in every county in which it is licensed and in which a provider network has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86.14(3)</w:t>
      </w:r>
      <w:r>
        <w:rPr>
          <w:rFonts w:ascii="Times New Roman" w:hAnsi="Times New Roman"/>
          <w:b w:val="false"/>
          <w:i w:val="false"/>
          <w:color w:val="000000"/>
          <w:sz w:val="22"/>
        </w:rPr>
        <w:t> </w:t>
      </w:r>
      <w:r>
        <w:rPr>
          <w:rFonts w:ascii="Times New Roman" w:hAnsi="Times New Roman"/>
          <w:b w:val="false"/>
          <w:i/>
          <w:color w:val="000000"/>
          <w:sz w:val="22"/>
        </w:rPr>
        <w:t xml:space="preserve">Provider network. </w:t>
      </w:r>
      <w:r>
        <w:rPr>
          <w:rFonts w:ascii="Times New Roman" w:hAnsi="Times New Roman"/>
          <w:b w:val="false"/>
          <w:i w:val="false"/>
          <w:color w:val="000000"/>
          <w:sz w:val="22"/>
        </w:rPr>
        <w:t>The participating health or dental plan shall establish a network of providers. Providers contracting with the participating health or dental plan shall comply with hawki requirements, which shall include collecting copayments,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cards. </w:t>
      </w:r>
      <w:r>
        <w:rPr>
          <w:rFonts w:ascii="Times New Roman" w:hAnsi="Times New Roman"/>
          <w:b w:val="false"/>
          <w:i w:val="false"/>
          <w:color w:val="000000"/>
          <w:sz w:val="22"/>
        </w:rPr>
        <w:t>Identification cards shall be issued by the participating health or dental plan to the enrollees for use in securing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86.14(5)</w:t>
      </w:r>
      <w:r>
        <w:rPr>
          <w:rFonts w:ascii="Times New Roman" w:hAnsi="Times New Roman"/>
          <w:b w:val="false"/>
          <w:i w:val="false"/>
          <w:color w:val="000000"/>
          <w:sz w:val="22"/>
        </w:rPr>
        <w:t> </w:t>
      </w:r>
      <w:r>
        <w:rPr>
          <w:rFonts w:ascii="Times New Roman" w:hAnsi="Times New Roman"/>
          <w:b w:val="false"/>
          <w:i/>
          <w:color w:val="000000"/>
          <w:sz w:val="22"/>
        </w:rPr>
        <w:t xml:space="preserve">Marketing.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health and dental plans may not distribute any marketing materials directly or through an agent or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marketing materials require prior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 minimum, participating health and dental plans must provide the following material in writing or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member handbook that fully explains the services available, how and when to obtain them, and special factors applicable to the hawki enrollees. At a minimum the handbook shall include covered services, network providers, exclusions, emergency services procedures, 24-hour toll-free number for certification of services, daytime number to call for assistance, appeal procedures, enrollee rights and responsibilities, and definitions of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health and dental plan literature and brochures shall be available in English and any other language when enrollment in the health or dental plan by enrollees who speak the same non-English language equals or exceeds 10 percent of all enrollees in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health and dental plan literature and brochures shall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and dental plans shall not, directly or indirectly, conduct door-to-door, telephonic, or other “cold-call” marketing.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or dental plan may make marketing presentations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86.14(6)</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The participating health or dental plan shall have a written procedure by which enrollees may appeal issues concerning the health or dental care services provided through providers contracted with the health or dental plan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approved by the department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Acknowledges receipt of the appeal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Establishes time frames that ensure that appeals be resolved within 45 days, except for appeals that involve emergency medical conditions, which shall be resolved within time frames appropriate to the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Ensures the participation of persons with authority to take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Ensures that the decision be made by a physician, dentist, or clinical peer not previously involved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Ensures the confidentiality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Ensures issuance of a written decision to the enrollee for each appeal, which shall contain an adequate explanation of the action taken and the reason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Maintains a log of the appeals that is made available to the department at the department’s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Ensures that the participating health or dental plan’s written appeal procedures be provided to each newly covered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Requires that the participating health or dental plan make quarterly reports to the department summarizing appeals and resolutions.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86.14(7)</w:t>
      </w:r>
      <w:r>
        <w:rPr>
          <w:rFonts w:ascii="Times New Roman" w:hAnsi="Times New Roman"/>
          <w:b w:val="false"/>
          <w:i w:val="false"/>
          <w:color w:val="000000"/>
          <w:sz w:val="22"/>
        </w:rPr>
        <w:t> </w:t>
      </w:r>
      <w:r>
        <w:rPr>
          <w:rFonts w:ascii="Times New Roman" w:hAnsi="Times New Roman"/>
          <w:b w:val="false"/>
          <w:i/>
          <w:color w:val="000000"/>
          <w:sz w:val="22"/>
        </w:rPr>
        <w:t xml:space="preserve">Records and reports. </w:t>
      </w:r>
      <w:r>
        <w:rPr>
          <w:rFonts w:ascii="Times New Roman" w:hAnsi="Times New Roman"/>
          <w:b w:val="false"/>
          <w:i w:val="false"/>
          <w:color w:val="000000"/>
          <w:sz w:val="22"/>
        </w:rPr>
        <w:t>The participating health and dental plans shall maintain records and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or dental plan shall comply with the provisions of rule </w:t>
      </w:r>
      <w:hyperlink r:id="rId4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regarding maintenance and retention of clinical and fiscal records and shall file a letter with the commissioner of insurance as described in Iowa Code section </w:t>
      </w:r>
      <w:hyperlink r:id="rId46">
        <w:r>
          <w:rPr>
            <w:rStyle w:val="Hyperlink"/>
            <w:rFonts w:ascii="Times New Roman" w:hAnsi="Times New Roman"/>
            <w:b w:val="false"/>
            <w:i w:val="false"/>
            <w:color w:val="000000"/>
            <w:sz w:val="22"/>
          </w:rPr>
          <w:t>228.7</w:t>
        </w:r>
      </w:hyperlink>
      <w:r>
        <w:rPr>
          <w:rFonts w:ascii="Times New Roman" w:hAnsi="Times New Roman"/>
          <w:b w:val="false"/>
          <w:i w:val="false"/>
          <w:color w:val="000000"/>
          <w:sz w:val="22"/>
        </w:rPr>
        <w:t>. In addition, the health or dental plan or subcontractor of the health or dental plan, as appropriate, must maintain a medical or dental records system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Identifies each medical or dental record by hawki enrollee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complete medical or dental record for each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a specific medical or dental record on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Meets state and federal reporting requirements applicable to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Maintains the confidentiality of medical or dental records information and releases the information only in accordance with established policy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medical and dental records of the enrollee shall be confidential and shall not be released without the written consent of the enrollee or responsible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consent is not required for the transmission of medical or dental records information to physicians, dentists, other practitioners, or facilities that are providing services to enrollees under a subcontract with the health or dental plan. This provision also applies to specialty providers who are retained by the health or dental plan to provide services that are infrequently used, which provide a support system service to the operation of the health or dental plan, or that are of an unusual nature. This provision is also intended to waive the need for written consent for department staff assisting in the administration of the program, reviewers from the peer review organization (PRO), monitoring authorities from the Centers for Medicare and Medicaid Services (CMS), the health or dental plan itself, and other subcontractors that require information as described under numbered paragraph “5”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consent is not required for the transmission of medical or dental records information to physicians, dentists, or facilities providing emergency care pursuant to paragraph </w:t>
      </w:r>
      <w:hyperlink r:id="rId47">
        <w:r>
          <w:rPr>
            <w:rStyle w:val="Hyperlink"/>
            <w:rFonts w:ascii="Times New Roman" w:hAnsi="Times New Roman"/>
            <w:b w:val="false"/>
            <w:i w:val="false"/>
            <w:color w:val="000000"/>
            <w:sz w:val="22"/>
          </w:rPr>
          <w:t>86.14(2)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Written consent is required for the transmission of the medical or dental records information of a former enrollee to any physician or dentist not connected with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medical or dental records information to be released in each instance shall be based upon a test of medical or dental necessity and a “need to know” on the part of the practitioner or a facility requesting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Medical and dental records maintained by subcontractors shall meet the requirements of this rule except that written consent is required for the transmission of medical records relating to substance abuse, HIV, or mental health treatment in accordance with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health or dental plan shall provide at a minimum reports and plan information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list of providers of services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Encounter data on a monthly basis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health or dental plan shall at a minimum provide reports and health or dental plan information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plan’s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for a health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Periodic financial, utilization and statistical reports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Time-specific reports that define activity for child health care, appeals and other designated activities that may, at the department’s discretion, vary among plans, depending on the services covered or other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information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86.14(8)</w:t>
      </w:r>
      <w:r>
        <w:rPr>
          <w:rFonts w:ascii="Times New Roman" w:hAnsi="Times New Roman"/>
          <w:b w:val="false"/>
          <w:i w:val="false"/>
          <w:color w:val="000000"/>
          <w:sz w:val="22"/>
        </w:rPr>
        <w:t> </w:t>
      </w:r>
      <w:r>
        <w:rPr>
          <w:rFonts w:ascii="Times New Roman" w:hAnsi="Times New Roman"/>
          <w:b w:val="false"/>
          <w:i/>
          <w:color w:val="000000"/>
          <w:sz w:val="22"/>
        </w:rPr>
        <w:t xml:space="preserve">Payment to the participating health or dental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consideration for all services rendered by a health or dental plan, the health or dental plan shall receive a payment each month for each enrollee. This capitation rate represents the total obligation of the department with respect to the costs of medical or dental care and services provided to the enrollees.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capitation rate shall be actuarially determined by the department July of 2000 and each fiscal year thereafter using statistics and data assumptions and relevant experience derived from similar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capitation rate does not include any amounts for the recoupment of losses suffered by the health or dental plan for risks assumed under the current or any previous contract. The health or dental plan accepts the rate as payment in full for the contracted services. Any savings realized by the health or dental plan due to lower utilization from a less frequent incidence of health or dental problems among the enrolled population shall be wholly retained by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enrollee has third-party coverage or a responsible party other than the hawki program available for purposes of payment for medical or dental expenses, it is the right and responsibility of the health or dental plan to investigate these third-party resources and attempt to obtain payment. The health or dental plan shall retain all funds collected through third-party sources. A complete record of all income from these sources must be maintained and made available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441—86.15</w:t>
      </w:r>
      <w:r>
        <w:rPr>
          <w:rFonts w:ascii="Times New Roman" w:hAnsi="Times New Roman"/>
          <w:b/>
          <w:i w:val="false"/>
          <w:color w:val="000000"/>
          <w:sz w:val="22"/>
        </w:rPr>
        <w:t xml:space="preserve">(514I) </w:t>
      </w:r>
      <w:r>
        <w:rPr>
          <w:rFonts w:ascii="Times New Roman" w:hAnsi="Times New Roman"/>
          <w:b/>
          <w:i w:val="false"/>
          <w:color w:val="000000"/>
          <w:sz w:val="22"/>
        </w:rPr>
        <w:t xml:space="preserve">Use of donations to the hawki program. </w:t>
      </w:r>
      <w:r>
        <w:rPr>
          <w:rFonts w:ascii="Times New Roman" w:hAnsi="Times New Roman"/>
          <w:b w:val="false"/>
          <w:i w:val="false"/>
          <w:color w:val="000000"/>
          <w:sz w:val="22"/>
        </w:rPr>
        <w:t>If an individual or other entity makes a monetary donation to the hawki program, the department will deposit the donation into the hawki trust fund. The department will track all donations separately and will not commingle the donations with other moneys in the trust fund. The department shall report the receipt of all donations to MAAC.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86.15(1)</w:t>
      </w:r>
      <w:r>
        <w:rPr>
          <w:rFonts w:ascii="Times New Roman" w:hAnsi="Times New Roman"/>
          <w:b w:val="false"/>
          <w:i w:val="false"/>
          <w:color w:val="000000"/>
          <w:sz w:val="22"/>
        </w:rPr>
        <w:t> </w:t>
      </w:r>
      <w:r>
        <w:rPr>
          <w:rFonts w:ascii="Times New Roman" w:hAnsi="Times New Roman"/>
          <w:b w:val="false"/>
          <w:i w:val="false"/>
          <w:color w:val="000000"/>
          <w:sz w:val="22"/>
        </w:rPr>
        <w:t>If the donor specifically identifies the purpose of the donation, regardless of the amount, the donation shall be used as specified by the donor as long as the identified purpose is permissible under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86.15(2)</w:t>
      </w:r>
      <w:r>
        <w:rPr>
          <w:rFonts w:ascii="Times New Roman" w:hAnsi="Times New Roman"/>
          <w:b w:val="false"/>
          <w:i w:val="false"/>
          <w:color w:val="000000"/>
          <w:sz w:val="22"/>
        </w:rPr>
        <w:t> </w:t>
      </w:r>
      <w:r>
        <w:rPr>
          <w:rFonts w:ascii="Times New Roman" w:hAnsi="Times New Roman"/>
          <w:b w:val="false"/>
          <w:i w:val="false"/>
          <w:color w:val="000000"/>
          <w:sz w:val="22"/>
        </w:rPr>
        <w:t>If the donation is less than $5,000 and the donor does not specifically identify how it is to be used, the department will use the moneys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direct benefit of enrollees (e.g., premium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outreach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other purposes as determined by MAAC.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86.15(3)</w:t>
      </w:r>
      <w:r>
        <w:rPr>
          <w:rFonts w:ascii="Times New Roman" w:hAnsi="Times New Roman"/>
          <w:b w:val="false"/>
          <w:i w:val="false"/>
          <w:color w:val="000000"/>
          <w:sz w:val="22"/>
        </w:rPr>
        <w:t> </w:t>
      </w:r>
      <w:r>
        <w:rPr>
          <w:rFonts w:ascii="Times New Roman" w:hAnsi="Times New Roman"/>
          <w:b w:val="false"/>
          <w:i w:val="false"/>
          <w:color w:val="000000"/>
          <w:sz w:val="22"/>
        </w:rPr>
        <w:t>If the donation is more than $5,000 and the donor does not specify how the funds are to be used, MAAC will determine how the funds are to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441—86.16</w:t>
      </w:r>
      <w:r>
        <w:rPr>
          <w:rFonts w:ascii="Times New Roman" w:hAnsi="Times New Roman"/>
          <w:b/>
          <w:i w:val="false"/>
          <w:color w:val="000000"/>
          <w:sz w:val="22"/>
        </w:rPr>
        <w:t xml:space="preserve">(514I)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86.16(1)</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from the enrollee or representative. </w:t>
      </w:r>
      <w:r>
        <w:rPr>
          <w:rFonts w:ascii="Times New Roman" w:hAnsi="Times New Roman"/>
          <w:b w:val="false"/>
          <w:i w:val="false"/>
          <w:color w:val="000000"/>
          <w:sz w:val="22"/>
        </w:rPr>
        <w:t xml:space="preserve">The department may recover from the enrollee or the enrollee’s representative the amount of premiums incorrectly paid to a health or dental plan on behalf of the enrollee due to client error, minus any premium payments made by the enrollee, in accordance with </w:t>
      </w:r>
      <w:hyperlink r:id="rId48">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Premiums incorrectly paid to a health or dental plan on behalf of an enrollee due to an administrative error are not subject to recovery from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made by a health or dental plan to a provider of medical or dental services are not subject to recovery from the enrollee regardless of the cause of the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enrollee will be promptly notified when it is determined that funds were incorrectly paid due to a client error. Notification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for whom funds were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the funds were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subject to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reason for the incorrect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86.16(3)</w:t>
      </w:r>
      <w:r>
        <w:rPr>
          <w:rFonts w:ascii="Times New Roman" w:hAnsi="Times New Roman"/>
          <w:b w:val="false"/>
          <w:i w:val="false"/>
          <w:color w:val="000000"/>
          <w:sz w:val="22"/>
        </w:rPr>
        <w:t> </w:t>
      </w:r>
      <w:r>
        <w:rPr>
          <w:rFonts w:ascii="Times New Roman" w:hAnsi="Times New Roman"/>
          <w:b w:val="false"/>
          <w:i/>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Recovery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From the enrollee when the enrollee completed the application and had responsibility for reporting changes,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enrollee’s representative (i.e., the parent, guardian, or other responsible person acting on behalf of an enrollee who is under the age of 19) when the representative completed the application and had responsibility for reporting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or representative shall repay to the department the funds incorrectly expended on behalf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Recovery may come from income, income tax refunds, lottery winnings, or other resources of the enrollee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86.16(4)</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enrollee shall have the right to appeal a decision to recover benefits under the provisions of </w:t>
      </w:r>
      <w:hyperlink r:id="rId4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441—86.17</w:t>
      </w:r>
      <w:r>
        <w:rPr>
          <w:rFonts w:ascii="Times New Roman" w:hAnsi="Times New Roman"/>
          <w:b/>
          <w:i w:val="false"/>
          <w:color w:val="000000"/>
          <w:sz w:val="22"/>
        </w:rPr>
        <w:t xml:space="preserve">(514I) </w:t>
      </w:r>
      <w:r>
        <w:rPr>
          <w:rFonts w:ascii="Times New Roman" w:hAnsi="Times New Roman"/>
          <w:b/>
          <w:i w:val="false"/>
          <w:color w:val="000000"/>
          <w:sz w:val="22"/>
        </w:rPr>
        <w:t xml:space="preserve">Supplemental dental-only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Unless otherwise specified, eligibility for supplemental dental-only coverage shall be determined in accordance with the provisions of rules </w:t>
      </w:r>
      <w:hyperlink r:id="rId50">
        <w:r>
          <w:rPr>
            <w:rStyle w:val="Hyperlink"/>
            <w:rFonts w:ascii="Times New Roman" w:hAnsi="Times New Roman"/>
            <w:b w:val="false"/>
            <w:i w:val="false"/>
            <w:color w:val="000000"/>
            <w:sz w:val="22"/>
          </w:rPr>
          <w:t>441—86.2</w:t>
        </w:r>
      </w:hyperlink>
      <w:r>
        <w:rPr>
          <w:rFonts w:ascii="Times New Roman" w:hAnsi="Times New Roman"/>
          <w:b w:val="false"/>
          <w:i w:val="false"/>
          <w:color w:val="000000"/>
          <w:sz w:val="22"/>
        </w:rPr>
        <w:t xml:space="preserve">(514I) through </w:t>
      </w:r>
      <w:hyperlink r:id="rId51">
        <w:r>
          <w:rPr>
            <w:rStyle w:val="Hyperlink"/>
            <w:rFonts w:ascii="Times New Roman" w:hAnsi="Times New Roman"/>
            <w:b w:val="false"/>
            <w:i w:val="false"/>
            <w:color w:val="000000"/>
            <w:sz w:val="22"/>
          </w:rPr>
          <w:t>441—86.12</w:t>
        </w:r>
      </w:hyperlink>
      <w:r>
        <w:rPr>
          <w:rFonts w:ascii="Times New Roman" w:hAnsi="Times New Roman"/>
          <w:b w:val="false"/>
          <w:i w:val="false"/>
          <w:color w:val="000000"/>
          <w:sz w:val="22"/>
        </w:rPr>
        <w:t xml:space="preserve">(514I) and </w:t>
      </w:r>
      <w:hyperlink r:id="rId52">
        <w:r>
          <w:rPr>
            <w:rStyle w:val="Hyperlink"/>
            <w:rFonts w:ascii="Times New Roman" w:hAnsi="Times New Roman"/>
            <w:b w:val="false"/>
            <w:i w:val="false"/>
            <w:color w:val="000000"/>
            <w:sz w:val="22"/>
          </w:rPr>
          <w:t>441—86.17</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86.17(2)</w:t>
      </w:r>
      <w:r>
        <w:rPr>
          <w:rFonts w:ascii="Times New Roman" w:hAnsi="Times New Roman"/>
          <w:b w:val="false"/>
          <w:i w:val="false"/>
          <w:color w:val="000000"/>
          <w:sz w:val="22"/>
        </w:rPr>
        <w:t> </w:t>
      </w:r>
      <w:r>
        <w:rPr>
          <w:rFonts w:ascii="Times New Roman" w:hAnsi="Times New Roman"/>
          <w:b w:val="false"/>
          <w:i/>
          <w:color w:val="000000"/>
          <w:sz w:val="22"/>
        </w:rPr>
        <w:t xml:space="preserve">Premiums. </w:t>
      </w:r>
      <w:r>
        <w:rPr>
          <w:rFonts w:ascii="Times New Roman" w:hAnsi="Times New Roman"/>
          <w:b w:val="false"/>
          <w:i w:val="false"/>
          <w:color w:val="000000"/>
          <w:sz w:val="22"/>
        </w:rPr>
        <w:t>Premiums for participation in the supplemental dental-only plan are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premium is charged to families whose countable income is less than or equal to 167 percent of the federal poverty level for a family of the same size using the modified adjusted gross income methodology or to an eligible child who is an American Indian or Alaska 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168 percent of the federal poverty level but does not exceed 203 percent of the federal poverty level for a family of the same size, the premium is $5 per child per month with a $10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exceeds 203 percent of the federal poverty level but does not exceed 254 percent of the federal poverty level for a family of the same size, the premium is $10 per child per month with a $15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exceeds 254 percent of the federal poverty level for a family of the same size, the premium is $15 per child per month with a $20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family includes uninsured children who are eligible for both medical and dental coverage under hawki and insured children who are eligible only for dental coverage, the premium will be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premium will be no more than the amount that the family would pay if all the children were eligible for both medical and dental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family has one child eligible for both medical and dental coverage and one child eligible for dental coverage only, the premium will be the total of the health and dental premium for one child and the dental premium for one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family has two or more children eligible for both medical and dental coverage, no additional premium shall be assessed for dental-only coverage for the children who do not qualify for medical coverage under hawki because they are covered by health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subrules </w:t>
      </w:r>
      <w:hyperlink r:id="rId53">
        <w:r>
          <w:rPr>
            <w:rStyle w:val="Hyperlink"/>
            <w:rFonts w:ascii="Times New Roman" w:hAnsi="Times New Roman"/>
            <w:b w:val="false"/>
            <w:i w:val="false"/>
            <w:color w:val="000000"/>
            <w:sz w:val="22"/>
          </w:rPr>
          <w:t>86.8(3)</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86.8(6)</w:t>
        </w:r>
      </w:hyperlink>
      <w:r>
        <w:rPr>
          <w:rFonts w:ascii="Times New Roman" w:hAnsi="Times New Roman"/>
          <w:b w:val="false"/>
          <w:i w:val="false"/>
          <w:color w:val="000000"/>
          <w:sz w:val="22"/>
        </w:rPr>
        <w:t xml:space="preserve"> apply to premiums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86.17(3)</w:t>
      </w:r>
      <w:r>
        <w:rPr>
          <w:rFonts w:ascii="Times New Roman" w:hAnsi="Times New Roman"/>
          <w:b w:val="false"/>
          <w:i w:val="false"/>
          <w:color w:val="000000"/>
          <w:sz w:val="22"/>
        </w:rPr>
        <w:t> </w:t>
      </w:r>
      <w:r>
        <w:rPr>
          <w:rFonts w:ascii="Times New Roman" w:hAnsi="Times New Roman"/>
          <w:b w:val="false"/>
          <w:i/>
          <w:color w:val="000000"/>
          <w:sz w:val="22"/>
        </w:rPr>
        <w:t xml:space="preserve">Waiting lists. </w:t>
      </w:r>
      <w:r>
        <w:rPr>
          <w:rFonts w:ascii="Times New Roman" w:hAnsi="Times New Roman"/>
          <w:b w:val="false"/>
          <w:i w:val="false"/>
          <w:color w:val="000000"/>
          <w:sz w:val="22"/>
        </w:rPr>
        <w:t xml:space="preserve">Before the provisions of subrule </w:t>
      </w:r>
      <w:hyperlink r:id="rId55">
        <w:r>
          <w:rPr>
            <w:rStyle w:val="Hyperlink"/>
            <w:rFonts w:ascii="Times New Roman" w:hAnsi="Times New Roman"/>
            <w:b w:val="false"/>
            <w:i w:val="false"/>
            <w:color w:val="000000"/>
            <w:sz w:val="22"/>
          </w:rPr>
          <w:t>86.3(10)</w:t>
        </w:r>
      </w:hyperlink>
      <w:r>
        <w:rPr>
          <w:rFonts w:ascii="Times New Roman" w:hAnsi="Times New Roman"/>
          <w:b w:val="false"/>
          <w:i w:val="false"/>
          <w:color w:val="000000"/>
          <w:sz w:val="22"/>
        </w:rPr>
        <w:t xml:space="preserve"> are implemented, all children enrolled in supplemental dental-only coverage shall be disenrolled from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6">
        <w:r>
          <w:rPr>
            <w:rStyle w:val="Hyperlink"/>
            <w:rFonts w:ascii="Times New Roman" w:hAnsi="Times New Roman"/>
            <w:b w:val="false"/>
            <w:i w:val="false"/>
            <w:color w:val="000000"/>
            <w:sz w:val="22"/>
          </w:rPr>
          <w:t>514I</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2024 Iowa Acts, Senate File 2385</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12/23/98 after Notice 11/4/98—published 1/13/99, effective 1/1/99]</w:t>
      </w:r>
    </w:p>
    <w:p>
      <w:pPr>
        <w:spacing w:before="0" w:after="0"/>
        <w:ind w:left="120"/>
        <w:jc w:val="center"/>
      </w:pPr>
      <w:r>
        <w:rPr>
          <w:rFonts w:ascii="Times New Roman" w:hAnsi="Times New Roman"/>
          <w:b w:val="false"/>
          <w:i w:val="false"/>
          <w:color w:val="000000"/>
          <w:sz w:val="21"/>
        </w:rPr>
        <w:t>[Filed emergency 12/23/98—published 1/13/99, effective 1/1/99]</w:t>
      </w:r>
    </w:p>
    <w:p>
      <w:pPr>
        <w:spacing w:before="0" w:after="0"/>
        <w:ind w:left="120"/>
        <w:jc w:val="center"/>
      </w:pPr>
      <w:r>
        <w:rPr>
          <w:rFonts w:ascii="Times New Roman" w:hAnsi="Times New Roman"/>
          <w:b w:val="false"/>
          <w:i w:val="false"/>
          <w:color w:val="000000"/>
          <w:sz w:val="21"/>
        </w:rPr>
        <w:t>[Filed 2/17/99, Notice 1/13/99—published 3/10/99, effective 5/1/99]</w:t>
      </w:r>
    </w:p>
    <w:p>
      <w:pPr>
        <w:spacing w:before="0" w:after="0"/>
        <w:ind w:left="120"/>
        <w:jc w:val="center"/>
      </w:pPr>
      <w:r>
        <w:rPr>
          <w:rFonts w:ascii="Times New Roman" w:hAnsi="Times New Roman"/>
          <w:b w:val="false"/>
          <w:i w:val="false"/>
          <w:color w:val="000000"/>
          <w:sz w:val="21"/>
        </w:rPr>
        <w:t>[Filed emergency 3/22/99—published 4/7/99, effective 4/1/99]</w:t>
      </w:r>
    </w:p>
    <w:p>
      <w:pPr>
        <w:spacing w:before="0" w:after="0"/>
        <w:ind w:left="120"/>
        <w:jc w:val="center"/>
      </w:pPr>
      <w:r>
        <w:rPr>
          <w:rFonts w:ascii="Times New Roman" w:hAnsi="Times New Roman"/>
          <w:b w:val="false"/>
          <w:i w:val="false"/>
          <w:color w:val="000000"/>
          <w:sz w:val="21"/>
        </w:rPr>
        <w:t>[Filed 5/21/99, Notice 4/7/99—published 6/16/99, effective 8/1/99]</w:t>
      </w:r>
    </w:p>
    <w:p>
      <w:pPr>
        <w:spacing w:before="0" w:after="0"/>
        <w:ind w:left="120"/>
        <w:jc w:val="center"/>
      </w:pPr>
      <w:r>
        <w:rPr>
          <w:rFonts w:ascii="Times New Roman" w:hAnsi="Times New Roman"/>
          <w:b w:val="false"/>
          <w:i w:val="false"/>
          <w:color w:val="000000"/>
          <w:sz w:val="21"/>
        </w:rPr>
        <w:t>[Filed 9/21/99, Notice 8/11/99—published 10/20/99, effective 12/1/99]</w:t>
      </w:r>
    </w:p>
    <w:p>
      <w:pPr>
        <w:spacing w:before="0" w:after="0"/>
        <w:ind w:left="120"/>
        <w:jc w:val="center"/>
      </w:pPr>
      <w:r>
        <w:rPr>
          <w:rFonts w:ascii="Times New Roman" w:hAnsi="Times New Roman"/>
          <w:b w:val="false"/>
          <w:i w:val="false"/>
          <w:color w:val="000000"/>
          <w:sz w:val="21"/>
        </w:rPr>
        <w:t>[Filed emergency 1/31/00 after Notice 12/15/99—published 2/23/00, effective 2/1/00]</w:t>
      </w:r>
    </w:p>
    <w:p>
      <w:pPr>
        <w:spacing w:before="0" w:after="0"/>
        <w:ind w:left="120"/>
        <w:jc w:val="center"/>
      </w:pPr>
      <w:r>
        <w:rPr>
          <w:rFonts w:ascii="Times New Roman" w:hAnsi="Times New Roman"/>
          <w:b w:val="false"/>
          <w:i w:val="false"/>
          <w:color w:val="000000"/>
          <w:sz w:val="21"/>
        </w:rPr>
        <w:t>[Filed emergency 5/23/00—published 6/14/00, effective 7/1/00]</w:t>
      </w:r>
    </w:p>
    <w:p>
      <w:pPr>
        <w:spacing w:before="0" w:after="0"/>
        <w:ind w:left="120"/>
        <w:jc w:val="center"/>
      </w:pPr>
      <w:r>
        <w:rPr>
          <w:rFonts w:ascii="Times New Roman" w:hAnsi="Times New Roman"/>
          <w:b w:val="false"/>
          <w:i w:val="false"/>
          <w:color w:val="000000"/>
          <w:sz w:val="21"/>
        </w:rPr>
        <w:t>[Filed 8/30/00, Notice 6/14/00—published 9/20/00, effective 11/1/00]</w:t>
      </w:r>
    </w:p>
    <w:p>
      <w:pPr>
        <w:spacing w:before="0" w:after="0"/>
        <w:ind w:left="120"/>
        <w:jc w:val="center"/>
      </w:pPr>
      <w:r>
        <w:rPr>
          <w:rFonts w:ascii="Times New Roman" w:hAnsi="Times New Roman"/>
          <w:b w:val="false"/>
          <w:i w:val="false"/>
          <w:color w:val="000000"/>
          <w:sz w:val="21"/>
        </w:rPr>
        <w:t>[Filed 12/20/00, Notice 10/18/00—published 1/10/01, effective 3/1/01]</w:t>
      </w:r>
    </w:p>
    <w:p>
      <w:pPr>
        <w:spacing w:before="0" w:after="0"/>
        <w:ind w:left="120"/>
        <w:jc w:val="center"/>
      </w:pPr>
      <w:r>
        <w:rPr>
          <w:rFonts w:ascii="Times New Roman" w:hAnsi="Times New Roman"/>
          <w:b w:val="false"/>
          <w:i w:val="false"/>
          <w:color w:val="000000"/>
          <w:sz w:val="21"/>
        </w:rPr>
        <w:t>[Filed 9/19/01, Notice 8/8/01—published 10/17/01, effective 12/1/01]</w:t>
      </w:r>
    </w:p>
    <w:p>
      <w:pPr>
        <w:spacing w:before="0" w:after="0"/>
        <w:ind w:left="120"/>
        <w:jc w:val="center"/>
      </w:pPr>
      <w:r>
        <w:rPr>
          <w:rFonts w:ascii="Times New Roman" w:hAnsi="Times New Roman"/>
          <w:b w:val="false"/>
          <w:i w:val="false"/>
          <w:color w:val="000000"/>
          <w:sz w:val="21"/>
        </w:rPr>
        <w:t>[Filed 10/23/02, Notice 9/4/02—published 11/13/02, effective 1/1/03]</w:t>
      </w:r>
    </w:p>
    <w:p>
      <w:pPr>
        <w:spacing w:before="0" w:after="0"/>
        <w:ind w:left="120"/>
        <w:jc w:val="center"/>
      </w:pPr>
      <w:r>
        <w:rPr>
          <w:rFonts w:ascii="Times New Roman" w:hAnsi="Times New Roman"/>
          <w:b w:val="false"/>
          <w:i w:val="false"/>
          <w:color w:val="000000"/>
          <w:sz w:val="21"/>
        </w:rPr>
        <w:t>[Filed emergency 6/20/03—published 7/9/03, effective 7/1/03]</w:t>
      </w:r>
    </w:p>
    <w:p>
      <w:pPr>
        <w:spacing w:before="0" w:after="0"/>
        <w:ind w:left="120"/>
        <w:jc w:val="center"/>
      </w:pPr>
      <w:r>
        <w:rPr>
          <w:rFonts w:ascii="Times New Roman" w:hAnsi="Times New Roman"/>
          <w:b w:val="false"/>
          <w:i w:val="false"/>
          <w:color w:val="000000"/>
          <w:sz w:val="21"/>
        </w:rPr>
        <w:t>[Filed 10/23/03, Notice 7/9/03—published 11/12/03, effective 1/1/04]</w:t>
      </w:r>
    </w:p>
    <w:p>
      <w:pPr>
        <w:spacing w:before="0" w:after="0"/>
        <w:ind w:left="120"/>
        <w:jc w:val="center"/>
      </w:pPr>
      <w:r>
        <w:rPr>
          <w:rFonts w:ascii="Times New Roman" w:hAnsi="Times New Roman"/>
          <w:b w:val="false"/>
          <w:i w:val="false"/>
          <w:color w:val="000000"/>
          <w:sz w:val="21"/>
        </w:rPr>
        <w:t>[Filed emergency 12/16/03 after Notice 10/29/03—published 1/7/04, effective 1/1/04]</w:t>
      </w:r>
    </w:p>
    <w:p>
      <w:pPr>
        <w:spacing w:before="0" w:after="0"/>
        <w:ind w:left="120"/>
        <w:jc w:val="center"/>
      </w:pPr>
      <w:r>
        <w:rPr>
          <w:rFonts w:ascii="Times New Roman" w:hAnsi="Times New Roman"/>
          <w:b w:val="false"/>
          <w:i w:val="false"/>
          <w:color w:val="000000"/>
          <w:sz w:val="21"/>
        </w:rPr>
        <w:t>[Filed 7/1/04, Notice 5/12/04—published 7/21/04, effective 9/1/04]</w:t>
      </w:r>
    </w:p>
    <w:p>
      <w:pPr>
        <w:spacing w:before="0" w:after="0"/>
        <w:ind w:left="120"/>
        <w:jc w:val="center"/>
      </w:pPr>
      <w:r>
        <w:rPr>
          <w:rFonts w:ascii="Times New Roman" w:hAnsi="Times New Roman"/>
          <w:b w:val="false"/>
          <w:i w:val="false"/>
          <w:color w:val="000000"/>
          <w:sz w:val="21"/>
        </w:rPr>
        <w:t>[Filed emergency 10/19/04 after Notice 7/21/04—published 11/10/04, effective 11/1/04]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12/22/05, Notice 9/14/05—published 1/18/06, effective 3/1/06]</w:t>
      </w:r>
    </w:p>
    <w:p>
      <w:pPr>
        <w:spacing w:before="0" w:after="0"/>
        <w:ind w:left="120"/>
        <w:jc w:val="center"/>
      </w:pPr>
      <w:r>
        <w:rPr>
          <w:rFonts w:ascii="Times New Roman" w:hAnsi="Times New Roman"/>
          <w:b w:val="false"/>
          <w:i w:val="false"/>
          <w:color w:val="000000"/>
          <w:sz w:val="21"/>
        </w:rPr>
        <w:t>[Filed 2/22/07, Notice 1/17/07—published 3/14/07, effective 4/18/07]</w:t>
      </w:r>
    </w:p>
    <w:p>
      <w:pPr>
        <w:spacing w:before="0" w:after="0"/>
        <w:ind w:left="120"/>
        <w:jc w:val="center"/>
      </w:pPr>
      <w:r>
        <w:rPr>
          <w:rFonts w:ascii="Times New Roman" w:hAnsi="Times New Roman"/>
          <w:b w:val="false"/>
          <w:i w:val="false"/>
          <w:color w:val="000000"/>
          <w:sz w:val="21"/>
        </w:rPr>
        <w:t>[Filed 2/20/08, Notice 11/21/07—published 3/12/08, effective 4/16/08]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4/8/08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4/8/08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7770B</w:t>
      </w:r>
      <w:r>
        <w:rPr>
          <w:rFonts w:ascii="Times New Roman" w:hAnsi="Times New Roman"/>
          <w:b w:val="false"/>
          <w:i w:val="false"/>
          <w:color w:val="000000"/>
          <w:sz w:val="21"/>
        </w:rPr>
        <w:t xml:space="preserve"> (Notice ARC 7635B, IAB 3/11/09)</w:t>
      </w:r>
      <w:r>
        <w:rPr>
          <w:rFonts w:ascii="Times New Roman" w:hAnsi="Times New Roman"/>
          <w:b w:val="false"/>
          <w:i w:val="false"/>
          <w:color w:val="000000"/>
          <w:sz w:val="21"/>
        </w:rPr>
        <w:t>, IAB 5/20/09, effective 7/1/09]</w:t>
      </w:r>
    </w:p>
    <w:p>
      <w:pPr>
        <w:spacing w:before="0" w:after="0"/>
        <w:ind w:left="120"/>
        <w:jc w:val="center"/>
      </w:pPr>
      <w:r>
        <w:rPr>
          <w:rFonts w:ascii="Times New Roman" w:hAnsi="Times New Roman"/>
          <w:b w:val="false"/>
          <w:i w:val="false"/>
          <w:color w:val="000000"/>
          <w:sz w:val="21"/>
        </w:rPr>
        <w:t>[Filed Emergency ARC 7881B, IAB 7/1/09, effective 7/1/09]</w:t>
      </w:r>
    </w:p>
    <w:p>
      <w:pPr>
        <w:spacing w:before="0" w:after="0"/>
        <w:ind w:left="120"/>
        <w:jc w:val="center"/>
      </w:pPr>
      <w:r>
        <w:rPr>
          <w:rFonts w:ascii="Times New Roman" w:hAnsi="Times New Roman"/>
          <w:b w:val="false"/>
          <w:i w:val="false"/>
          <w:color w:val="000000"/>
          <w:sz w:val="21"/>
        </w:rPr>
        <w:t>[Filed Emergency ARC 8127B, IAB 9/9/09, effective 9/1/09]</w:t>
      </w:r>
      <w:r>
        <w:rPr>
          <w:rFonts w:ascii="Times New Roman" w:hAnsi="Times New Roman"/>
          <w:b w:val="false"/>
          <w:i w:val="false"/>
          <w:color w:val="000000"/>
          <w:sz w:val="21"/>
        </w:rPr>
        <w:t>[Filed ARC 8109B</w:t>
      </w:r>
      <w:r>
        <w:rPr>
          <w:rFonts w:ascii="Times New Roman" w:hAnsi="Times New Roman"/>
          <w:b w:val="false"/>
          <w:i w:val="false"/>
          <w:color w:val="000000"/>
          <w:sz w:val="21"/>
        </w:rPr>
        <w:t xml:space="preserve"> (Notice ARC 7882B,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8281B</w:t>
      </w:r>
      <w:r>
        <w:rPr>
          <w:rFonts w:ascii="Times New Roman" w:hAnsi="Times New Roman"/>
          <w:b w:val="false"/>
          <w:i w:val="false"/>
          <w:color w:val="000000"/>
          <w:sz w:val="21"/>
        </w:rPr>
        <w:t xml:space="preserve"> (Notice ARC 8128B, IAB 9/9/09)</w:t>
      </w:r>
      <w:r>
        <w:rPr>
          <w:rFonts w:ascii="Times New Roman" w:hAnsi="Times New Roman"/>
          <w:b w:val="false"/>
          <w:i w:val="false"/>
          <w:color w:val="000000"/>
          <w:sz w:val="21"/>
        </w:rPr>
        <w:t>, IAB 11/18/09, effective 12/23/09]</w:t>
      </w:r>
      <w:r>
        <w:br/>
      </w:r>
      <w:r>
        <w:rPr>
          <w:rFonts w:ascii="Times New Roman" w:hAnsi="Times New Roman"/>
          <w:b w:val="false"/>
          <w:i w:val="false"/>
          <w:color w:val="000000"/>
          <w:sz w:val="21"/>
        </w:rPr>
        <w:t>[Filed ARC 8280B</w:t>
      </w:r>
      <w:r>
        <w:rPr>
          <w:rFonts w:ascii="Times New Roman" w:hAnsi="Times New Roman"/>
          <w:b w:val="false"/>
          <w:i w:val="false"/>
          <w:color w:val="000000"/>
          <w:sz w:val="21"/>
        </w:rPr>
        <w:t xml:space="preserve"> (Notice ARC 8110B, IAB 9/9/09)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8478B</w:t>
      </w:r>
      <w:r>
        <w:rPr>
          <w:rFonts w:ascii="Times New Roman" w:hAnsi="Times New Roman"/>
          <w:b w:val="false"/>
          <w:i w:val="false"/>
          <w:color w:val="000000"/>
          <w:sz w:val="21"/>
        </w:rPr>
        <w:t xml:space="preserve"> (Notice ARC 8112B, IAB 9/9/09)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8580B</w:t>
      </w:r>
      <w:r>
        <w:rPr>
          <w:rFonts w:ascii="Times New Roman" w:hAnsi="Times New Roman"/>
          <w:b w:val="false"/>
          <w:i w:val="false"/>
          <w:color w:val="000000"/>
          <w:sz w:val="21"/>
        </w:rPr>
        <w:t xml:space="preserve"> (Notice ARC 8279B, IAB 11/18/09)</w:t>
      </w:r>
      <w:r>
        <w:rPr>
          <w:rFonts w:ascii="Times New Roman" w:hAnsi="Times New Roman"/>
          <w:b w:val="false"/>
          <w:i w:val="false"/>
          <w:color w:val="000000"/>
          <w:sz w:val="21"/>
        </w:rPr>
        <w:t>, IAB 3/10/10, effective 3/1/10]</w:t>
      </w:r>
    </w:p>
    <w:p>
      <w:pPr>
        <w:spacing w:before="0" w:after="0"/>
        <w:ind w:left="120"/>
        <w:jc w:val="center"/>
      </w:pPr>
      <w:r>
        <w:rPr>
          <w:rFonts w:ascii="Times New Roman" w:hAnsi="Times New Roman"/>
          <w:b w:val="false"/>
          <w:i w:val="false"/>
          <w:color w:val="000000"/>
          <w:sz w:val="21"/>
        </w:rPr>
        <w:t>[Filed Emergency After Notice ARC 8838B</w:t>
      </w:r>
      <w:r>
        <w:rPr>
          <w:rFonts w:ascii="Times New Roman" w:hAnsi="Times New Roman"/>
          <w:b w:val="false"/>
          <w:i w:val="false"/>
          <w:color w:val="000000"/>
          <w:sz w:val="21"/>
        </w:rPr>
        <w:t xml:space="preserve"> (Notice ARC 8479B, IAB 1/13/10)</w:t>
      </w:r>
      <w:r>
        <w:rPr>
          <w:rFonts w:ascii="Times New Roman" w:hAnsi="Times New Roman"/>
          <w:b w:val="false"/>
          <w:i w:val="false"/>
          <w:color w:val="000000"/>
          <w:sz w:val="21"/>
        </w:rPr>
        <w:t>, IAB 6/16/10, effective 6/1/10]</w:t>
      </w:r>
      <w:r>
        <w:br/>
      </w:r>
      <w:r>
        <w:rPr>
          <w:rFonts w:ascii="Times New Roman" w:hAnsi="Times New Roman"/>
          <w:b w:val="false"/>
          <w:i w:val="false"/>
          <w:color w:val="000000"/>
          <w:sz w:val="21"/>
        </w:rPr>
        <w:t>[Filed ARC 8839B</w:t>
      </w:r>
      <w:r>
        <w:rPr>
          <w:rFonts w:ascii="Times New Roman" w:hAnsi="Times New Roman"/>
          <w:b w:val="false"/>
          <w:i w:val="false"/>
          <w:color w:val="000000"/>
          <w:sz w:val="21"/>
        </w:rPr>
        <w:t xml:space="preserve"> (Notice ARC 8581B, IAB 3/10/10)</w:t>
      </w:r>
      <w:r>
        <w:rPr>
          <w:rFonts w:ascii="Times New Roman" w:hAnsi="Times New Roman"/>
          <w:b w:val="false"/>
          <w:i w:val="false"/>
          <w:color w:val="000000"/>
          <w:sz w:val="21"/>
        </w:rPr>
        <w:t>, IAB 6/16/10, effective 8/1/10]</w:t>
      </w:r>
    </w:p>
    <w:p>
      <w:pPr>
        <w:spacing w:before="0" w:after="0"/>
        <w:ind w:left="120"/>
        <w:jc w:val="center"/>
      </w:pPr>
      <w:r>
        <w:rPr>
          <w:rFonts w:ascii="Times New Roman" w:hAnsi="Times New Roman"/>
          <w:b w:val="false"/>
          <w:i w:val="false"/>
          <w:color w:val="000000"/>
          <w:sz w:val="21"/>
        </w:rPr>
        <w:t>[Filed Emergency After Notice ARC 9083B</w:t>
      </w:r>
      <w:r>
        <w:rPr>
          <w:rFonts w:ascii="Times New Roman" w:hAnsi="Times New Roman"/>
          <w:b w:val="false"/>
          <w:i w:val="false"/>
          <w:color w:val="000000"/>
          <w:sz w:val="21"/>
        </w:rPr>
        <w:t xml:space="preserve"> (Notice ARC 8840B, IAB 6/16/10)</w:t>
      </w:r>
      <w:r>
        <w:rPr>
          <w:rFonts w:ascii="Times New Roman" w:hAnsi="Times New Roman"/>
          <w:b w:val="false"/>
          <w:i w:val="false"/>
          <w:color w:val="000000"/>
          <w:sz w:val="21"/>
        </w:rPr>
        <w:t>, IAB 9/22/10, effective 9/1/10]</w:t>
      </w:r>
      <w:r>
        <w:br/>
      </w:r>
      <w:r>
        <w:rPr>
          <w:rFonts w:ascii="Times New Roman" w:hAnsi="Times New Roman"/>
          <w:b w:val="false"/>
          <w:i w:val="false"/>
          <w:color w:val="000000"/>
          <w:sz w:val="21"/>
        </w:rPr>
        <w:t>[Filed Emergency After Notice ARC 9084B</w:t>
      </w:r>
      <w:r>
        <w:rPr>
          <w:rFonts w:ascii="Times New Roman" w:hAnsi="Times New Roman"/>
          <w:b w:val="false"/>
          <w:i w:val="false"/>
          <w:color w:val="000000"/>
          <w:sz w:val="21"/>
        </w:rPr>
        <w:t xml:space="preserve"> (Notice ARC 8841B, IAB 6/16/10)</w:t>
      </w:r>
      <w:r>
        <w:rPr>
          <w:rFonts w:ascii="Times New Roman" w:hAnsi="Times New Roman"/>
          <w:b w:val="false"/>
          <w:i w:val="false"/>
          <w:color w:val="000000"/>
          <w:sz w:val="21"/>
        </w:rPr>
        <w:t>, IAB 9/22/10, effective 9/1/10]</w:t>
      </w:r>
    </w:p>
    <w:p>
      <w:pPr>
        <w:spacing w:before="0" w:after="0"/>
        <w:ind w:left="120"/>
        <w:jc w:val="center"/>
      </w:pPr>
      <w:r>
        <w:rPr>
          <w:rFonts w:ascii="Times New Roman" w:hAnsi="Times New Roman"/>
          <w:b w:val="false"/>
          <w:i w:val="false"/>
          <w:color w:val="000000"/>
          <w:sz w:val="21"/>
        </w:rPr>
        <w:t>[Filed ARC 0552C</w:t>
      </w:r>
      <w:r>
        <w:rPr>
          <w:rFonts w:ascii="Times New Roman" w:hAnsi="Times New Roman"/>
          <w:b w:val="false"/>
          <w:i w:val="false"/>
          <w:color w:val="000000"/>
          <w:sz w:val="21"/>
        </w:rPr>
        <w:t xml:space="preserve"> (Notice ARC 0332C, IAB 9/19/12)</w:t>
      </w:r>
      <w:r>
        <w:rPr>
          <w:rFonts w:ascii="Times New Roman" w:hAnsi="Times New Roman"/>
          <w:b w:val="false"/>
          <w:i w:val="false"/>
          <w:color w:val="000000"/>
          <w:sz w:val="21"/>
        </w:rPr>
        <w:t>, IAB 1/9/13, effective 4/1/13]</w:t>
      </w:r>
    </w:p>
    <w:p>
      <w:pPr>
        <w:spacing w:before="0" w:after="0"/>
        <w:ind w:left="120"/>
        <w:jc w:val="center"/>
      </w:pPr>
      <w:r>
        <w:rPr>
          <w:rFonts w:ascii="Times New Roman" w:hAnsi="Times New Roman"/>
          <w:b w:val="false"/>
          <w:i w:val="false"/>
          <w:color w:val="000000"/>
          <w:sz w:val="21"/>
        </w:rPr>
        <w:t>[Filed ARC 0837C</w:t>
      </w:r>
      <w:r>
        <w:rPr>
          <w:rFonts w:ascii="Times New Roman" w:hAnsi="Times New Roman"/>
          <w:b w:val="false"/>
          <w:i w:val="false"/>
          <w:color w:val="000000"/>
          <w:sz w:val="21"/>
        </w:rPr>
        <w:t xml:space="preserve"> (Notice ARC 0747C, IAB 5/15/13)</w:t>
      </w:r>
      <w:r>
        <w:rPr>
          <w:rFonts w:ascii="Times New Roman" w:hAnsi="Times New Roman"/>
          <w:b w:val="false"/>
          <w:i w:val="false"/>
          <w:color w:val="000000"/>
          <w:sz w:val="21"/>
        </w:rPr>
        <w:t>, IAB 7/24/13, effective 10/1/13]</w:t>
      </w:r>
    </w:p>
    <w:p>
      <w:pPr>
        <w:spacing w:before="0" w:after="0"/>
        <w:ind w:left="120"/>
        <w:jc w:val="center"/>
      </w:pPr>
      <w:r>
        <w:rPr>
          <w:rFonts w:ascii="Times New Roman" w:hAnsi="Times New Roman"/>
          <w:b w:val="false"/>
          <w:i w:val="false"/>
          <w:color w:val="000000"/>
          <w:sz w:val="21"/>
        </w:rPr>
        <w:t>[Filed Emergency After Notice ARC 1287C</w:t>
      </w:r>
      <w:r>
        <w:rPr>
          <w:rFonts w:ascii="Times New Roman" w:hAnsi="Times New Roman"/>
          <w:b w:val="false"/>
          <w:i w:val="false"/>
          <w:color w:val="000000"/>
          <w:sz w:val="21"/>
        </w:rPr>
        <w:t xml:space="preserve"> (Notice ARC 1183C, IAB 11/13/13)</w:t>
      </w:r>
      <w:r>
        <w:rPr>
          <w:rFonts w:ascii="Times New Roman" w:hAnsi="Times New Roman"/>
          <w:b w:val="false"/>
          <w:i w:val="false"/>
          <w:color w:val="000000"/>
          <w:sz w:val="21"/>
        </w:rPr>
        <w:t>, IAB 1/8/14, effective 1/1/14]</w:t>
      </w:r>
    </w:p>
    <w:p>
      <w:pPr>
        <w:spacing w:before="0" w:after="0"/>
        <w:ind w:left="120"/>
        <w:jc w:val="center"/>
      </w:pPr>
      <w:r>
        <w:rPr>
          <w:rFonts w:ascii="Times New Roman" w:hAnsi="Times New Roman"/>
          <w:b w:val="false"/>
          <w:i w:val="false"/>
          <w:color w:val="000000"/>
          <w:sz w:val="21"/>
        </w:rPr>
        <w:t>[Filed ARC 2912C</w:t>
      </w:r>
      <w:r>
        <w:rPr>
          <w:rFonts w:ascii="Times New Roman" w:hAnsi="Times New Roman"/>
          <w:b w:val="false"/>
          <w:i w:val="false"/>
          <w:color w:val="000000"/>
          <w:sz w:val="21"/>
        </w:rPr>
        <w:t xml:space="preserve"> (Notice ARC 2784C, IAB 10/26/16)</w:t>
      </w:r>
      <w:r>
        <w:rPr>
          <w:rFonts w:ascii="Times New Roman" w:hAnsi="Times New Roman"/>
          <w:b w:val="false"/>
          <w:i w:val="false"/>
          <w:color w:val="000000"/>
          <w:sz w:val="21"/>
        </w:rPr>
        <w:t>, IAB 1/18/17, effective 3/1/17]</w:t>
      </w:r>
    </w:p>
    <w:p>
      <w:pPr>
        <w:spacing w:before="0" w:after="0"/>
        <w:ind w:left="120"/>
        <w:jc w:val="center"/>
      </w:pPr>
      <w:r>
        <w:rPr>
          <w:rFonts w:ascii="Times New Roman" w:hAnsi="Times New Roman"/>
          <w:b w:val="false"/>
          <w:i w:val="false"/>
          <w:color w:val="000000"/>
          <w:sz w:val="21"/>
        </w:rPr>
        <w:t>[Filed ARC 4779C</w:t>
      </w:r>
      <w:r>
        <w:rPr>
          <w:rFonts w:ascii="Times New Roman" w:hAnsi="Times New Roman"/>
          <w:b w:val="false"/>
          <w:i w:val="false"/>
          <w:color w:val="000000"/>
          <w:sz w:val="21"/>
        </w:rPr>
        <w:t xml:space="preserve"> (Notice ARC 4627C, IAB 8/28/19)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5141C</w:t>
      </w:r>
      <w:r>
        <w:rPr>
          <w:rFonts w:ascii="Times New Roman" w:hAnsi="Times New Roman"/>
          <w:b w:val="false"/>
          <w:i w:val="false"/>
          <w:color w:val="000000"/>
          <w:sz w:val="21"/>
        </w:rPr>
        <w:t xml:space="preserve"> (Notice ARC 4912C, IAB 2/12/20)</w:t>
      </w:r>
      <w:r>
        <w:rPr>
          <w:rFonts w:ascii="Times New Roman" w:hAnsi="Times New Roman"/>
          <w:b w:val="false"/>
          <w:i w:val="false"/>
          <w:color w:val="000000"/>
          <w:sz w:val="21"/>
        </w:rPr>
        <w:t>, IAB 8/12/20, effective 12/1/20]</w:t>
      </w:r>
    </w:p>
    <w:p>
      <w:pPr>
        <w:spacing w:before="0" w:after="0"/>
        <w:ind w:left="120"/>
        <w:jc w:val="center"/>
      </w:pPr>
      <w:r>
        <w:rPr>
          <w:rFonts w:ascii="Times New Roman" w:hAnsi="Times New Roman"/>
          <w:b w:val="false"/>
          <w:i w:val="false"/>
          <w:color w:val="000000"/>
          <w:sz w:val="21"/>
        </w:rPr>
        <w:t>[Filed ARC 9468C</w:t>
      </w:r>
      <w:r>
        <w:rPr>
          <w:rFonts w:ascii="Times New Roman" w:hAnsi="Times New Roman"/>
          <w:b w:val="false"/>
          <w:i w:val="false"/>
          <w:color w:val="000000"/>
          <w:sz w:val="21"/>
        </w:rPr>
        <w:t xml:space="preserve"> (Notice ARC 8571C, IAB 12/25/24)</w:t>
      </w:r>
      <w:r>
        <w:rPr>
          <w:rFonts w:ascii="Times New Roman" w:hAnsi="Times New Roman"/>
          <w:b w:val="false"/>
          <w:i w:val="false"/>
          <w:color w:val="000000"/>
          <w:sz w:val="21"/>
        </w:rPr>
        <w:t>, IAB 8/6/25, effective 10/1/25]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86.10.pdf" Type="http://schemas.openxmlformats.org/officeDocument/2006/relationships/hyperlink" Id="rId5"/>
    <Relationship TargetMode="External" Target="https://www.legis.iowa.gov/docs/ico/chapter/514I.10.pdf" Type="http://schemas.openxmlformats.org/officeDocument/2006/relationships/hyperlink" Id="rId6"/>
    <Relationship TargetMode="External" Target="https://www.legis.iowa.gov/docs/iac/rule/441.86.14.pdf" Type="http://schemas.openxmlformats.org/officeDocument/2006/relationships/hyperlink" Id="rId7"/>
    <Relationship TargetMode="External" Target="https://www.legis.iowa.gov/docs/iac/rule/441.86.2.pdf" Type="http://schemas.openxmlformats.org/officeDocument/2006/relationships/hyperlink" Id="rId8"/>
    <Relationship TargetMode="External" Target="https://www.legis.iowa.gov/docs/ico/chapter/249A.4B.pdf" Type="http://schemas.openxmlformats.org/officeDocument/2006/relationships/hyperlink" Id="rId9"/>
    <Relationship TargetMode="External" Target="https://www.legis.iowa.gov/docs/ico/chapter/135.1.pdf" Type="http://schemas.openxmlformats.org/officeDocument/2006/relationships/hyperlink" Id="rId10"/>
    <Relationship TargetMode="External" Target="https://www.legis.iowa.gov/docs/iac/rule/441.86.8.pdf" Type="http://schemas.openxmlformats.org/officeDocument/2006/relationships/hyperlink" Id="rId11"/>
    <Relationship TargetMode="External" Target="https://www.legis.iowa.gov/docs/iac/rule/441.75.1.pdf" Type="http://schemas.openxmlformats.org/officeDocument/2006/relationships/hyperlink" Id="rId12"/>
    <Relationship TargetMode="External" Target="https://www.legis.iowa.gov/docs/iac/rule/441.75.10.pdf" Type="http://schemas.openxmlformats.org/officeDocument/2006/relationships/hyperlink" Id="rId13"/>
    <Relationship TargetMode="External" Target="https://www.legis.iowa.gov/docs/iac/rule/441.75.11.pdf" Type="http://schemas.openxmlformats.org/officeDocument/2006/relationships/hyperlink" Id="rId14"/>
    <Relationship TargetMode="External" Target="https://www.legis.iowa.gov/docs/iac/rule/441.75.11.pdf" Type="http://schemas.openxmlformats.org/officeDocument/2006/relationships/hyperlink" Id="rId15"/>
    <Relationship TargetMode="External" Target="https://www.legis.iowa.gov/docs/iac/rule/441.86.2.pdf" Type="http://schemas.openxmlformats.org/officeDocument/2006/relationships/hyperlink" Id="rId16"/>
    <Relationship TargetMode="External" Target="https://www.legis.iowa.gov/docs/iac/rule/441.75.11.pdf" Type="http://schemas.openxmlformats.org/officeDocument/2006/relationships/hyperlink" Id="rId17"/>
    <Relationship TargetMode="External" Target="https://www.legis.iowa.gov/docs/iac/rule/441.75.11.pdf" Type="http://schemas.openxmlformats.org/officeDocument/2006/relationships/hyperlink" Id="rId18"/>
    <Relationship TargetMode="External" Target="https://www.legis.iowa.gov/docs/iac/rule/441.75.7.pdf" Type="http://schemas.openxmlformats.org/officeDocument/2006/relationships/hyperlink" Id="rId19"/>
    <Relationship TargetMode="External" Target="https://www.legis.iowa.gov/docs/iac/rule/441.76.1.pdf" Type="http://schemas.openxmlformats.org/officeDocument/2006/relationships/hyperlink" Id="rId20"/>
    <Relationship TargetMode="External" Target="https://www.legis.iowa.gov/docs/iac/rule/441.86.20.pdf" Type="http://schemas.openxmlformats.org/officeDocument/2006/relationships/hyperlink" Id="rId21"/>
    <Relationship TargetMode="External" Target="https://www.legis.iowa.gov/docs/iac/rule/441.76.1.pdf" Type="http://schemas.openxmlformats.org/officeDocument/2006/relationships/hyperlink" Id="rId22"/>
    <Relationship TargetMode="External" Target="https://www.legis.iowa.gov/docs/iac/rule/441.75.1.pdf" Type="http://schemas.openxmlformats.org/officeDocument/2006/relationships/hyperlink" Id="rId23"/>
    <Relationship TargetMode="External" Target="https://www.legis.iowa.gov/docs/iac/rule/441.75.1.pdf" Type="http://schemas.openxmlformats.org/officeDocument/2006/relationships/hyperlink" Id="rId24"/>
    <Relationship TargetMode="External" Target="https://www.legis.iowa.gov/docs/iac/rule/441.75.1.pdf" Type="http://schemas.openxmlformats.org/officeDocument/2006/relationships/hyperlink" Id="rId25"/>
    <Relationship TargetMode="External" Target="https://www.legis.iowa.gov/docs/iac/rule/441.75.1.pdf" Type="http://schemas.openxmlformats.org/officeDocument/2006/relationships/hyperlink" Id="rId26"/>
    <Relationship TargetMode="External" Target="https://www.legis.iowa.gov/docs/iac/rule/441.75.1.pdf" Type="http://schemas.openxmlformats.org/officeDocument/2006/relationships/hyperlink" Id="rId27"/>
    <Relationship TargetMode="External" Target="https://www.legis.iowa.gov/docs/iac/rule/441.75.1.pdf" Type="http://schemas.openxmlformats.org/officeDocument/2006/relationships/hyperlink" Id="rId28"/>
    <Relationship TargetMode="External" Target="https://www.legis.iowa.gov/docs/iac/rule/441.86.2.pdf" Type="http://schemas.openxmlformats.org/officeDocument/2006/relationships/hyperlink" Id="rId29"/>
    <Relationship TargetMode="External" Target="https://www.legis.iowa.gov/docs/iac/rule/441.86.6.pdf" Type="http://schemas.openxmlformats.org/officeDocument/2006/relationships/hyperlink" Id="rId30"/>
    <Relationship TargetMode="External" Target="https://www.legis.iowa.gov/docs/iac/rule/441.86.6.pdf" Type="http://schemas.openxmlformats.org/officeDocument/2006/relationships/hyperlink" Id="rId31"/>
    <Relationship TargetMode="External" Target="https://www.legis.iowa.gov/docs/iac/rule/441.86.7.pdf" Type="http://schemas.openxmlformats.org/officeDocument/2006/relationships/hyperlink" Id="rId32"/>
    <Relationship TargetMode="External" Target="https://www.legis.iowa.gov/docs/iac/rule/441.86.6.pdf" Type="http://schemas.openxmlformats.org/officeDocument/2006/relationships/hyperlink" Id="rId33"/>
    <Relationship TargetMode="External" Target="https://www.legis.iowa.gov/docs/iac/rule/441.75.10.pdf" Type="http://schemas.openxmlformats.org/officeDocument/2006/relationships/hyperlink" Id="rId34"/>
    <Relationship TargetMode="External" Target="https://www.legis.iowa.gov/docs/iac/rule/441.86.20.pdf" Type="http://schemas.openxmlformats.org/officeDocument/2006/relationships/hyperlink" Id="rId35"/>
    <Relationship TargetMode="External" Target="https://www.legis.iowa.gov/docs/iac/rule/441.86.8.pdf" Type="http://schemas.openxmlformats.org/officeDocument/2006/relationships/hyperlink" Id="rId36"/>
    <Relationship TargetMode="External" Target="https://www.legis.iowa.gov/docs/iac/rule/441.86.8.pdf" Type="http://schemas.openxmlformats.org/officeDocument/2006/relationships/hyperlink" Id="rId37"/>
    <Relationship TargetMode="External" Target="https://www.legis.iowa.gov/docs/iac/rule/441.86.3.pdf" Type="http://schemas.openxmlformats.org/officeDocument/2006/relationships/hyperlink" Id="rId38"/>
    <Relationship TargetMode="External" Target="https://www.legis.iowa.gov/docs/iac/rule/441.86.3.pdf" Type="http://schemas.openxmlformats.org/officeDocument/2006/relationships/hyperlink" Id="rId39"/>
    <Relationship TargetMode="External" Target="https://www.legis.iowa.gov/docs/iac/rule/441.86.11.pdf" Type="http://schemas.openxmlformats.org/officeDocument/2006/relationships/hyperlink" Id="rId40"/>
    <Relationship TargetMode="External" Target="https://www.legis.iowa.gov/docs/iac/rule/441.86.3.pdf" Type="http://schemas.openxmlformats.org/officeDocument/2006/relationships/hyperlink" Id="rId41"/>
    <Relationship TargetMode="External" Target="https://www.legis.iowa.gov/docs/iac/rule/441.16.2.pdf" Type="http://schemas.openxmlformats.org/officeDocument/2006/relationships/hyperlink" Id="rId42"/>
    <Relationship TargetMode="External" Target="https://www.legis.iowa.gov/docs/iac/chapter/441.7.pdf" Type="http://schemas.openxmlformats.org/officeDocument/2006/relationships/hyperlink" Id="rId43"/>
    <Relationship TargetMode="External" Target="https://www.legis.iowa.gov/docs/iac/rule/441.86.13.pdf" Type="http://schemas.openxmlformats.org/officeDocument/2006/relationships/hyperlink" Id="rId44"/>
    <Relationship TargetMode="External" Target="https://www.legis.iowa.gov/docs/iac/rule/441.79.3.pdf" Type="http://schemas.openxmlformats.org/officeDocument/2006/relationships/hyperlink" Id="rId45"/>
    <Relationship TargetMode="External" Target="https://www.legis.iowa.gov/docs/ico/chapter/228.7.pdf" Type="http://schemas.openxmlformats.org/officeDocument/2006/relationships/hyperlink" Id="rId46"/>
    <Relationship TargetMode="External" Target="https://www.legis.iowa.gov/docs/iac/rule/441.86.14.pdf" Type="http://schemas.openxmlformats.org/officeDocument/2006/relationships/hyperlink" Id="rId47"/>
    <Relationship TargetMode="External" Target="https://www.legis.iowa.gov/docs/iac/chapter/441.11.pdf" Type="http://schemas.openxmlformats.org/officeDocument/2006/relationships/hyperlink" Id="rId48"/>
    <Relationship TargetMode="External" Target="https://www.legis.iowa.gov/docs/iac/chapter/441.7.pdf" Type="http://schemas.openxmlformats.org/officeDocument/2006/relationships/hyperlink" Id="rId49"/>
    <Relationship TargetMode="External" Target="https://www.legis.iowa.gov/docs/iac/rule/441.86.2.pdf" Type="http://schemas.openxmlformats.org/officeDocument/2006/relationships/hyperlink" Id="rId50"/>
    <Relationship TargetMode="External" Target="https://www.legis.iowa.gov/docs/iac/rule/441.86.12.pdf" Type="http://schemas.openxmlformats.org/officeDocument/2006/relationships/hyperlink" Id="rId51"/>
    <Relationship TargetMode="External" Target="https://www.legis.iowa.gov/docs/iac/rule/441.86.17.pdf" Type="http://schemas.openxmlformats.org/officeDocument/2006/relationships/hyperlink" Id="rId52"/>
    <Relationship TargetMode="External" Target="https://www.legis.iowa.gov/docs/iac/rule/441.86.8.pdf" Type="http://schemas.openxmlformats.org/officeDocument/2006/relationships/hyperlink" Id="rId53"/>
    <Relationship TargetMode="External" Target="https://www.legis.iowa.gov/docs/iac/rule/441.86.8.pdf" Type="http://schemas.openxmlformats.org/officeDocument/2006/relationships/hyperlink" Id="rId54"/>
    <Relationship TargetMode="External" Target="https://www.legis.iowa.gov/docs/iac/rule/441.86.3.pdf" Type="http://schemas.openxmlformats.org/officeDocument/2006/relationships/hyperlink" Id="rId55"/>
    <Relationship TargetMode="External" Target="https://www.legis.iowa.gov/docs/ico/chapter/514I.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