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3/9/88, see Landscape Architectural Examiners Board[540]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193D—3.1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safety, and welfare subjects” </w:t>
      </w:r>
      <w:r>
        <w:rPr>
          <w:rFonts w:ascii="Times New Roman" w:hAnsi="Times New Roman"/>
          <w:b w:val="false"/>
          <w:i w:val="false"/>
          <w:color w:val="000000"/>
          <w:sz w:val="22"/>
        </w:rPr>
        <w:t>means technical and professional subjects that the board deems appropriate to directly safeguard the public’s health, safety, and welfare. Such subjects include design, environmental systems, site design, land use analyses, landscape architecture programming, grading and drainage, storm water management, erosion control, site and soil analyses, accessibility, building codes, review of state registration laws including the rules of professional conduct, evaluation and selection of products and materials, cost analysis, construction methods, contract documentation, construction contract administration, construction administration, construction-phase office procedures, project management, and the like.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“Hours of continuing education” </w:t>
      </w:r>
      <w:r>
        <w:rPr>
          <w:rFonts w:ascii="Times New Roman" w:hAnsi="Times New Roman"/>
          <w:b w:val="false"/>
          <w:i w:val="false"/>
          <w:color w:val="000000"/>
          <w:sz w:val="22"/>
        </w:rPr>
        <w:t>means a contact hour spent in either structured educational activities or individually planned activities intended to increase the professional landscape architect’s knowledge and competence in public protection subjects and related practice subjects. “Contact hour” is defined as the typical 50-minute classroom instructional session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“Structured educational activities” </w:t>
      </w:r>
      <w:r>
        <w:rPr>
          <w:rFonts w:ascii="Times New Roman" w:hAnsi="Times New Roman"/>
          <w:b w:val="false"/>
          <w:i w:val="false"/>
          <w:color w:val="000000"/>
          <w:sz w:val="22"/>
        </w:rPr>
        <w:t>means educational activities in which the teaching methodology consists primarily of systematic presentation of public protection subjects or related practice subjects by qualified individuals or organizations including monographs, courses of study taught in person or by correspondence, organized lectures, presentations or workshops, and other means through which identifiable technical and professional subjects are presented in a planned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193D—3.2</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In order for professional landscape architects to provide competent, professional services to the public, continuing education will consist of learning experiences that enhance, expand and keep current the skills, knowledge, and abilities of practicing professionals. Professional landscape architects may pursue learning experiences in technical, nontechnical, regulatory, ethics and business practice areas, provided that the continuing education directly benefits the health,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Hours required. Each registrant will complete during each two-year licensing term a minimum of 24 hours of continuing education approved by the board. Compliance with the continuing education requirements is a prerequisite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Within any biennial renewal period, 24 hours of continuing education must be acquired and will be in health, safety, and welfare subjects acquired in structured educational activities. A licensee may apply up to 12 continuing education hours obtained in excess of the requirement for a renewal period to the continuing education requirements for the following renewal period. Continuing education hours may be acquired in any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will not be required to report continuing education at the first license renewal. A professional landscape architect who holds a license in Iowa for more than 12 months but less than 24 months from the date of initial licensure will be required to report 12 hours of continuing education in health, safety, and welfare subjects earned in the preceding 12 months at the first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of continuing education. The following suggested list may be used by all licensees to determine the types of activities that may fulfill the continuing education requirements. All hours of continuing education must also comply with the directive in subrule </w:t>
      </w:r>
      <w:r>
        <w:rPr>
          <w:rFonts w:ascii="Times New Roman" w:hAnsi="Times New Roman"/>
          <w:b w:val="false"/>
          <w:i w:val="false"/>
          <w:color w:val="000000"/>
          <w:sz w:val="22"/>
        </w:rPr>
        <w:t>3.2(2)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dealing with landscape architectural subjects and sponsored by colleges, universities or professional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presentations on landscape architectural subjects that are held in conjunction with conventions or at seminars related to material use and function. Presentations such as those presented by CLARB, American Society of Landscape Architects, Construction Specification Institute, Construction Products Manufacturers Council or similar organizations devoted to landscape architecture education may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relating to business practice or new technology and offered by colleges, universities, professional organizations or system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presenting or teaching courses or seminars in landscape architecture. Three preparation hours may be claimed for each class hour spent teaching landscape architectural courses or seminars. College or university faculty members may not claim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learning through professional service to the public that draws upon the licensee’s professional expertise on boards and commissions, such as serving on planning commissions, building code advisory boards, urban renewal boards, code study commissions or community boards. Hours of continuing education under this paragraph will be limited to six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landscape architectural research that is published or formally presented to the profession or public. Credit may be claimed only following proof of publication or presentation. Hours of continuing education under this paragraph will be limited to 12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distance learning that concludes with an examination or other verification of course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College or university courses dealing with landscape architectural subjects or business practices. Each semester hour equals 15 hours of continuing education. A quarter hour equals ten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educational tours or tours in areas significant to landscape architecture when the tour is sponsored by college, university or professional organizations and verification of participation is provided by the tour sponsor. Self-guided tours do not qualify. Hours of continuing education under this paragraph will be limited to six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attending in-house educational programs, including dinner, luncheon, and breakfast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Financing. It is the responsibility of each licensee to finance the costs for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193D—3.3</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Each professional landscape architect will file with the board a signed report, under penalty of perjury, on forms provided by the board or by online renewal, setting forth the continuing education activities in which the professional landscape architect has participated. The report will be filed with the renewal application for each two-year renewal period in which the claimed hours of continuing education were completed. The information in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title of the course and a description of the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the 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instances of service on a professional or community board, or other undocumented hours of continuing education (non-health, safety, and welfare documentation such as learning units or professional development hours), the licensee will provide a narrative description of the materials the licensee reviewed, the nature of the licensee’s service, and a description as to how the licensee’s claimed hours of continuing education have contributed to the health, safety, and welfare of the public.</w:t>
      </w:r>
    </w:p>
    <w:p>
      <w:pPr>
        <w:spacing w:before="0" w:after="0"/>
        <w:ind w:left="120"/>
        <w:jc w:val="both"/>
      </w:pPr>
      <w:r>
        <w:rPr>
          <w:rFonts w:ascii="Times New Roman" w:hAnsi="Times New Roman"/>
          <w:b w:val="false"/>
          <w:i w:val="false"/>
          <w:color w:val="000000"/>
          <w:sz w:val="22"/>
        </w:rPr>
        <w:t>This information shall be kept by the licensee for reported hours of continuing education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architect’s continuing education report forms or online renewal may be selected for review by the board for verification of compliance with these requirements. Evidence of compliance will be maintained by the professional landscape architect for two years after the period for which the form was submitted and will include written verification of attendance by someone other than the licensee. Examples of evidence may include but are not limited to a certificate of completion presented by the program sponsor, a letter from an employer verifying attendance at an in-firm training session, or copies of minutes from public service meetings. Canceled checks, slideshow presentations, email confirmation or receipts for payments of fees to attend a program are not evidence of actual attendance and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Any discrepancy between the number of continuing education hours reported and the number of continuing education hours actually supported by documentation may result in a disciplinary review. If, after the disciplinary review, the board disallows any continuing education hours, or the licensee has failed to complete the required continuing education hours, the landscape architect will have 60 days from board notice to either provide further evidence of having completed the continuing education hours disallowed or remedy the discrepancy by completing the required number of continuing education hours (provided that such continuing education hours will not again be used for the next renewal). Extension of time may be granted on an individual basis and will be requested by the licensee within 30 days of notification by the board. If the licensee fails to comply with the requirements of this subrule, the licensee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193D—3.4</w:t>
      </w:r>
      <w:r>
        <w:rPr>
          <w:rFonts w:ascii="Times New Roman" w:hAnsi="Times New Roman"/>
          <w:b/>
          <w:i w:val="false"/>
          <w:color w:val="000000"/>
          <w:sz w:val="22"/>
        </w:rPr>
        <w:t xml:space="preserve">(544B,17A) </w:t>
      </w:r>
      <w:r>
        <w:rPr>
          <w:rFonts w:ascii="Times New Roman" w:hAnsi="Times New Roman"/>
          <w:b/>
          <w:i w:val="false"/>
          <w:color w:val="000000"/>
          <w:sz w:val="22"/>
        </w:rPr>
        <w:t xml:space="preserve">Hearings. </w:t>
      </w:r>
      <w:r>
        <w:rPr>
          <w:rFonts w:ascii="Times New Roman" w:hAnsi="Times New Roman"/>
          <w:b w:val="false"/>
          <w:i w:val="false"/>
          <w:color w:val="000000"/>
          <w:sz w:val="22"/>
        </w:rPr>
        <w:t>In the event of denial, in whole or in part, of any application for approval of credit for continuing education activity, the licensee will have the right, within 20 days after the date of notification of the denial by mail, to request a hearing by the board. The hearing will be held within 60 days after receipt of the request for the hearing. The decision of the board will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193D—3.5</w:t>
      </w:r>
      <w:r>
        <w:rPr>
          <w:rFonts w:ascii="Times New Roman" w:hAnsi="Times New Roman"/>
          <w:b/>
          <w:i w:val="false"/>
          <w:color w:val="000000"/>
          <w:sz w:val="22"/>
        </w:rPr>
        <w:t xml:space="preserve">(544B,17A) </w:t>
      </w:r>
      <w:r>
        <w:rPr>
          <w:rFonts w:ascii="Times New Roman" w:hAnsi="Times New Roman"/>
          <w:b/>
          <w:i w:val="false"/>
          <w:color w:val="000000"/>
          <w:sz w:val="22"/>
        </w:rPr>
        <w:t xml:space="preserve">Physical disability, illness, hardship, or extenuating circumstances. </w:t>
      </w:r>
      <w:r>
        <w:rPr>
          <w:rFonts w:ascii="Times New Roman" w:hAnsi="Times New Roman"/>
          <w:b w:val="false"/>
          <w:i w:val="false"/>
          <w:color w:val="000000"/>
          <w:sz w:val="22"/>
        </w:rPr>
        <w:t>The board may, in individual cases involving physical disability, illness (certified by a medical doctor), hardship, or extenuating circumstances, grant waivers of the continuing education requirements for a period of time not to exceed one year. No waiver or extension of time will be granted unless the licensee makes a written request to the board for such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193D—3.6</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Methods of compliance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A licensee licensed to practice as a professional landscape architect will be deemed to have complied with the continuing education requirements during the continuing education compliance period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Serves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Resides in another state or district having a continuing education requirement for the occupation or profession and meets all the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 professional landscape architect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approved by the board for periods of active practice and absence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If the licensee was not engaged in active practice as a professional landscape architect and will maintain inactive status during the period for which renewal is requested, the board may exempt the licensee from continuing education. No exemption will be granted without a written request from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193D—3.7</w:t>
      </w:r>
      <w:r>
        <w:rPr>
          <w:rFonts w:ascii="Times New Roman" w:hAnsi="Times New Roman"/>
          <w:b/>
          <w:i w:val="false"/>
          <w:color w:val="000000"/>
          <w:sz w:val="22"/>
        </w:rPr>
        <w:t xml:space="preserve">(544B,17A) </w:t>
      </w:r>
      <w:r>
        <w:rPr>
          <w:rFonts w:ascii="Times New Roman" w:hAnsi="Times New Roman"/>
          <w:b/>
          <w:i w:val="false"/>
          <w:color w:val="000000"/>
          <w:sz w:val="22"/>
        </w:rPr>
        <w:t xml:space="preserve">Grounds for denial of license renewal. </w:t>
      </w:r>
      <w:r>
        <w:rPr>
          <w:rFonts w:ascii="Times New Roman" w:hAnsi="Times New Roman"/>
          <w:b w:val="false"/>
          <w:i w:val="false"/>
          <w:color w:val="000000"/>
          <w:sz w:val="22"/>
        </w:rPr>
        <w:t>Failure of a licensee to complete the continuing education requirements as set forth in this chapter, failure to file a report of completed continuing education, or failure to submit a written request for waiver or exemption will be grounds for the board to deny renewal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chapter is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11/9/78, Notice 10/4/78—published 11/29/78, effective 1/3/79]</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2/17/00, Notice 12/15/99—published 3/8/00, effective 9/1/00]</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10/20/05, Notice 8/3/05—published 11/9/05, effective 12/14/05]</w:t>
      </w:r>
    </w:p>
    <w:p>
      <w:pPr>
        <w:spacing w:before="0" w:after="0"/>
        <w:ind w:left="120"/>
        <w:jc w:val="center"/>
      </w:pPr>
      <w:r>
        <w:rPr>
          <w:rFonts w:ascii="Times New Roman" w:hAnsi="Times New Roman"/>
          <w:b w:val="false"/>
          <w:i w:val="false"/>
          <w:color w:val="000000"/>
          <w:sz w:val="21"/>
        </w:rPr>
        <w:t>[Filed 5/3/07, Notice 2/14/07—published 5/23/07, effective 6/27/07]</w:t>
      </w:r>
    </w:p>
    <w:p>
      <w:pPr>
        <w:spacing w:before="0" w:after="0"/>
        <w:ind w:left="120"/>
        <w:jc w:val="center"/>
      </w:pPr>
      <w:r>
        <w:rPr>
          <w:rFonts w:ascii="Times New Roman" w:hAnsi="Times New Roman"/>
          <w:b w:val="false"/>
          <w:i w:val="false"/>
          <w:color w:val="000000"/>
          <w:sz w:val="21"/>
        </w:rPr>
        <w:t>[Filed ARC 9749B</w:t>
      </w:r>
      <w:r>
        <w:rPr>
          <w:rFonts w:ascii="Times New Roman" w:hAnsi="Times New Roman"/>
          <w:b w:val="false"/>
          <w:i w:val="false"/>
          <w:color w:val="000000"/>
          <w:sz w:val="21"/>
        </w:rPr>
        <w:t xml:space="preserve"> (Notice ARC 9569B, IAB 6/29/11)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3794C</w:t>
      </w:r>
      <w:r>
        <w:rPr>
          <w:rFonts w:ascii="Times New Roman" w:hAnsi="Times New Roman"/>
          <w:b w:val="false"/>
          <w:i w:val="false"/>
          <w:color w:val="000000"/>
          <w:sz w:val="21"/>
        </w:rPr>
        <w:t xml:space="preserve"> (Notice ARC 3653C, IAB 2/28/18)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9156C</w:t>
      </w:r>
      <w:r>
        <w:rPr>
          <w:rFonts w:ascii="Times New Roman" w:hAnsi="Times New Roman"/>
          <w:b w:val="false"/>
          <w:i w:val="false"/>
          <w:color w:val="000000"/>
          <w:sz w:val="21"/>
        </w:rPr>
        <w:t xml:space="preserve"> (Notice ARC 8766C, IAB 1/22/25)</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544B.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