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EXAMINATIONS AND LICENSING</w:t>
      </w:r>
    </w:p>
    <w:p>
      <w:pPr>
        <w:spacing w:before="0" w:after="0"/>
        <w:ind w:left="120"/>
        <w:jc w:val="center"/>
      </w:pPr>
      <w:r>
        <w:rPr>
          <w:rFonts w:ascii="Times New Roman" w:hAnsi="Times New Roman"/>
          <w:b w:val="false"/>
          <w:i w:val="false"/>
          <w:color w:val="000000"/>
          <w:sz w:val="14"/>
        </w:rPr>
        <w:t>[Prior to 3/9/88, see Landscape Architectural Examiners Board[540]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193D—2.1</w:t>
      </w:r>
      <w:r>
        <w:rPr>
          <w:rFonts w:ascii="Times New Roman" w:hAnsi="Times New Roman"/>
          <w:b/>
          <w:i w:val="false"/>
          <w:color w:val="000000"/>
          <w:sz w:val="22"/>
        </w:rPr>
        <w:t xml:space="preserve">(544B,17A) </w:t>
      </w:r>
      <w:r>
        <w:rPr>
          <w:rFonts w:ascii="Times New Roman" w:hAnsi="Times New Roman"/>
          <w:b/>
          <w:i w:val="false"/>
          <w:color w:val="000000"/>
          <w:sz w:val="22"/>
        </w:rPr>
        <w:t xml:space="preserve">Application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Candidates will contact CLARB to start the examination licensure process by creating a council record. A candidate’s council record will include verified history of the candidate’s education, experience, examination and licensure history, and professional references and is used to apply for examination,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The candidate who successfully completes the LARE will complete an online application for certificate of licensure to the board after meeting one of the requirements listed below and requesting that the candidate’s council record be transmitted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course in landscape architecture in a school, college, or university offering an accredited minimum four-year curriculum in landscape architecture, and a minimum of three years of practical experience in landscape architectural work that in the opinion of the board is of satisfactory character, at least one year of which must be under the supervision of a professional landscape architect or a person who becomes a professional landscape architect within one year after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from a nonaccredited course of landscape architecture of a minimum of four years in a school, college, or university and a minimum of four years of practical experience in landscape architectural work that in the opinion of the board is of satisfactory character, at least one year of which must be under the supervision of a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ten years of practical experience in landscape architectural work that in the opinion of the board is of satisfactory character to properly prepare the applicant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A satisfactorily completed year of study in an accredited course of landscape architecture in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val="false"/>
          <w:color w:val="000000"/>
          <w:sz w:val="22"/>
        </w:rPr>
        <w:t>Any four-year college or university degree may be accepted in lieu of two years of practical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193D—2.2</w:t>
      </w:r>
      <w:r>
        <w:rPr>
          <w:rFonts w:ascii="Times New Roman" w:hAnsi="Times New Roman"/>
          <w:b/>
          <w:i w:val="false"/>
          <w:color w:val="000000"/>
          <w:sz w:val="22"/>
        </w:rPr>
        <w:t xml:space="preserve">(544B,17A) </w:t>
      </w:r>
      <w:r>
        <w:rPr>
          <w:rFonts w:ascii="Times New Roman" w:hAnsi="Times New Roman"/>
          <w:b/>
          <w:i w:val="false"/>
          <w:color w:val="000000"/>
          <w:sz w:val="22"/>
        </w:rPr>
        <w:t xml:space="preserve">Procedure for processing applications. </w:t>
      </w:r>
      <w:r>
        <w:rPr>
          <w:rFonts w:ascii="Times New Roman" w:hAnsi="Times New Roman"/>
          <w:b w:val="false"/>
          <w:i w:val="false"/>
          <w:color w:val="000000"/>
          <w:sz w:val="22"/>
        </w:rPr>
        <w:t xml:space="preserve">The board executive will determine when the legal requirements for licensure have been satisfied with regard to issuance of certificates, licenses or registrations, and the board executive will submit to the board any questionable application. An applicant’s personal appearance before the board, if required, will be at the time and place designated by the board. Failure to supply additional evidence or information within 30 days from the date of the written request from the board, or failure to appear before the board when an appearance is requested, may be considered cause for disapproval of the application. Unless otherwise provided by law, a request for a rehearing before the board will be filed with the board in accordance with rule </w:t>
      </w:r>
      <w:hyperlink r:id="rId5">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 xml:space="preserve">(543,272C). A judicial review can be filed in accordance with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193D—2.3</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Registration of applicants. </w:t>
      </w:r>
      <w:r>
        <w:rPr>
          <w:rFonts w:ascii="Times New Roman" w:hAnsi="Times New Roman"/>
          <w:b w:val="false"/>
          <w:i w:val="false"/>
          <w:color w:val="000000"/>
          <w:sz w:val="22"/>
        </w:rPr>
        <w:t xml:space="preserve">Applicants must meet the requirements of Iowa Code section </w:t>
      </w:r>
      <w:hyperlink r:id="rId7">
        <w:r>
          <w:rPr>
            <w:rStyle w:val="Hyperlink"/>
            <w:rFonts w:ascii="Times New Roman" w:hAnsi="Times New Roman"/>
            <w:b w:val="false"/>
            <w:i w:val="false"/>
            <w:color w:val="000000"/>
            <w:sz w:val="22"/>
          </w:rPr>
          <w:t>544B.9</w:t>
        </w:r>
      </w:hyperlink>
      <w:r>
        <w:rPr>
          <w:rFonts w:ascii="Times New Roman" w:hAnsi="Times New Roman"/>
          <w:b w:val="false"/>
          <w:i w:val="false"/>
          <w:color w:val="000000"/>
          <w:sz w:val="22"/>
        </w:rPr>
        <w:t xml:space="preserve"> for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193D—2.4</w:t>
      </w:r>
      <w:r>
        <w:rPr>
          <w:rFonts w:ascii="Times New Roman" w:hAnsi="Times New Roman"/>
          <w:b/>
          <w:i w:val="false"/>
          <w:color w:val="000000"/>
          <w:sz w:val="22"/>
        </w:rPr>
        <w:t xml:space="preserve">(544B,17A) </w:t>
      </w:r>
      <w:r>
        <w:rPr>
          <w:rFonts w:ascii="Times New Roman" w:hAnsi="Times New Roman"/>
          <w:b/>
          <w:i w:val="false"/>
          <w:color w:val="000000"/>
          <w:sz w:val="22"/>
        </w:rPr>
        <w:t xml:space="preserve">Written examination. </w:t>
      </w:r>
      <w:r>
        <w:rPr>
          <w:rFonts w:ascii="Times New Roman" w:hAnsi="Times New Roman"/>
          <w:b w:val="false"/>
          <w:i w:val="false"/>
          <w:color w:val="000000"/>
          <w:sz w:val="22"/>
        </w:rPr>
        <w:t>The written examination will consist of the professional landscape architectural licensure examination published by CLARB and may include supplementary questions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193D—2.5</w:t>
      </w:r>
      <w:r>
        <w:rPr>
          <w:rFonts w:ascii="Times New Roman" w:hAnsi="Times New Roman"/>
          <w:b/>
          <w:i w:val="false"/>
          <w:color w:val="000000"/>
          <w:sz w:val="22"/>
        </w:rPr>
        <w:t xml:space="preserve">(544B,17A) </w:t>
      </w:r>
      <w:r>
        <w:rPr>
          <w:rFonts w:ascii="Times New Roman" w:hAnsi="Times New Roman"/>
          <w:b/>
          <w:i w:val="false"/>
          <w:color w:val="000000"/>
          <w:sz w:val="22"/>
        </w:rPr>
        <w:t xml:space="preserve">Exemption from written examination. </w:t>
      </w:r>
      <w:r>
        <w:rPr>
          <w:rFonts w:ascii="Times New Roman" w:hAnsi="Times New Roman"/>
          <w:b w:val="false"/>
          <w:i w:val="false"/>
          <w:color w:val="000000"/>
          <w:sz w:val="22"/>
        </w:rPr>
        <w:t>The board may exempt from written examination an applicant who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The applicant holds a current CLARB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The applicant holds a license to practice landscape architecture issued upon written examination by another jurisdiction and has submitted a certificate from the jurisdiction of original licensure verifying that the applicant passed the examination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landscape architecture issued by another jurisdiction whose current licensure requirements, including the examination requirements, are substantially equivalent to or exceed those required for licensure as a landscape architect in Iowa, and during the time period in which the applicant was issued an initial license in the other jurisdiction, that jurisdiction did not require a written examination for initial applicants but did require board review and approval of education and experience designed to demonstrate competence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grandfathered in under the laws of the other jurisdiction before written examinations for initial licensure were mandated by the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Submits a certificate from the jurisdiction of original licensure verifying that the applicant was licensed during the period in which there was no written examination and submits proof of license in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193D—2.6</w:t>
      </w:r>
      <w:r>
        <w:rPr>
          <w:rFonts w:ascii="Times New Roman" w:hAnsi="Times New Roman"/>
          <w:b/>
          <w:i w:val="false"/>
          <w:color w:val="000000"/>
          <w:sz w:val="22"/>
        </w:rPr>
        <w:t xml:space="preserve">(544B,17A) </w:t>
      </w:r>
      <w:r>
        <w:rPr>
          <w:rFonts w:ascii="Times New Roman" w:hAnsi="Times New Roman"/>
          <w:b/>
          <w:i w:val="false"/>
          <w:color w:val="000000"/>
          <w:sz w:val="22"/>
        </w:rPr>
        <w:t xml:space="preserve">Certificate of licensure. </w:t>
      </w:r>
      <w:r>
        <w:rPr>
          <w:rFonts w:ascii="Times New Roman" w:hAnsi="Times New Roman"/>
          <w:b w:val="false"/>
          <w:i w:val="false"/>
          <w:color w:val="000000"/>
          <w:sz w:val="22"/>
        </w:rPr>
        <w:t>When an applicant has qualified for licensure under this chapter and has paid the required license fee, board staff will enroll the applicant’s name in the roster of professional landscape architects and issue to the applicant a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License number. </w:t>
      </w:r>
      <w:r>
        <w:rPr>
          <w:rFonts w:ascii="Times New Roman" w:hAnsi="Times New Roman"/>
          <w:b w:val="false"/>
          <w:i w:val="false"/>
          <w:color w:val="000000"/>
          <w:sz w:val="22"/>
        </w:rPr>
        <w:t>The certificate will indicate the license number of the landscape architect that must appear on the professional landscape architect’s seal and on all works signed by the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Only one certificate of licensure will be issued to a professional landscape architect. The certificate will be displayed in a conspicuous place at the place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193D—2.7</w:t>
      </w:r>
      <w:r>
        <w:rPr>
          <w:rFonts w:ascii="Times New Roman" w:hAnsi="Times New Roman"/>
          <w:b/>
          <w:i w:val="false"/>
          <w:color w:val="000000"/>
          <w:sz w:val="22"/>
        </w:rPr>
        <w:t xml:space="preserve">(17A,272C,544B) </w:t>
      </w:r>
      <w:r>
        <w:rPr>
          <w:rFonts w:ascii="Times New Roman" w:hAnsi="Times New Roman"/>
          <w:b/>
          <w:i w:val="false"/>
          <w:color w:val="000000"/>
          <w:sz w:val="22"/>
        </w:rPr>
        <w:t xml:space="preserve">Renewal of certificates of licensure.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landscape architecture in Iowa until the certificate is reinstated as provided in rule </w:t>
      </w:r>
      <w:hyperlink r:id="rId8">
        <w:r>
          <w:rPr>
            <w:rStyle w:val="Hyperlink"/>
            <w:rFonts w:ascii="Times New Roman" w:hAnsi="Times New Roman"/>
            <w:b w:val="false"/>
            <w:i w:val="false"/>
            <w:color w:val="000000"/>
            <w:sz w:val="22"/>
          </w:rPr>
          <w:t>193D—2.8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email to each licensee a notice of the pending expiration date at the licensee’s last-known address approximately one month prior to the date the certificate of licensure is scheduled to expire.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9">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0">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and after or in lieu of giving the licensee an opportunity to come into compliance under </w:t>
      </w:r>
      <w:hyperlink r:id="rId11">
        <w:r>
          <w:rPr>
            <w:rStyle w:val="Hyperlink"/>
            <w:rFonts w:ascii="Times New Roman" w:hAnsi="Times New Roman"/>
            <w:b w:val="false"/>
            <w:i w:val="false"/>
            <w:color w:val="000000"/>
            <w:sz w:val="22"/>
          </w:rPr>
          <w:t>193D—subrule 3.3(3)</w:t>
        </w:r>
      </w:hyperlink>
      <w:r>
        <w:rPr>
          <w:rFonts w:ascii="Times New Roman" w:hAnsi="Times New Roman"/>
          <w:b w:val="false"/>
          <w:i w:val="false"/>
          <w:color w:val="000000"/>
          <w:sz w:val="22"/>
        </w:rPr>
        <w:t xml:space="preserve">, the board may, in lieu of proceeding to a contested case hearing on the denial of a renewal application as provided in rule </w:t>
      </w:r>
      <w:hyperlink r:id="rId12">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 xml:space="preserve">(546,272C), offer the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licensee pursuant to </w:t>
      </w:r>
      <w:hyperlink r:id="rId13">
        <w:r>
          <w:rPr>
            <w:rStyle w:val="Hyperlink"/>
            <w:rFonts w:ascii="Times New Roman" w:hAnsi="Times New Roman"/>
            <w:b w:val="false"/>
            <w:i w:val="false"/>
            <w:color w:val="000000"/>
            <w:sz w:val="22"/>
          </w:rPr>
          <w:t>193—subrule 7.40(1)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w:t>
      </w:r>
      <w:r>
        <w:rPr>
          <w:rFonts w:ascii="Times New Roman" w:hAnsi="Times New Roman"/>
          <w:b w:val="false"/>
          <w:i w:val="false"/>
          <w:color w:val="000000"/>
          <w:sz w:val="22"/>
        </w:rPr>
        <w:t> </w:t>
      </w:r>
      <w:r>
        <w:rPr>
          <w:rFonts w:ascii="Times New Roman" w:hAnsi="Times New Roman"/>
          <w:b w:val="false"/>
          <w:i w:val="false"/>
          <w:color w:val="000000"/>
          <w:sz w:val="22"/>
        </w:rPr>
        <w:t>The board may notify licensees whose certificates of licensure have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landscape architecture in Iowa after licensure has expired will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w:t>
      </w:r>
      <w:r>
        <w:rPr>
          <w:rFonts w:ascii="Times New Roman" w:hAnsi="Times New Roman"/>
          <w:b w:val="false"/>
          <w:i w:val="false"/>
          <w:color w:val="000000"/>
          <w:sz w:val="22"/>
        </w:rPr>
        <w:t> </w:t>
      </w:r>
      <w:r>
        <w:rPr>
          <w:rFonts w:ascii="Times New Roman" w:hAnsi="Times New Roman"/>
          <w:b w:val="false"/>
          <w:i w:val="false"/>
          <w:color w:val="000000"/>
          <w:sz w:val="22"/>
        </w:rPr>
        <w:t>Licensees will notify the board within 30 days of any change of address or business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This subrule establishes a procedure under which a person issued a certificate of licensure as a landscape architect may apply to the board to register as inactive. Licensure under this subrule is available to a licensee residing within or outside the state of Iowa who is not using the title “landscape architect” while offering services as a landscape architect. A person eligible to register as inactive may, as an alternative to licensure, allow the certificate of licensure to lapse. During any period of inactive status, a person will not engage in the practice of landscape architecture while using the title “landscape architect” or any other title that might imply that the person is offering services as a landscape architect in violation of Iowa Code section </w:t>
      </w:r>
      <w:hyperlink r:id="rId14">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of licensure has lapsed through the person’s failure to renew. A person who registers as inactive will accordingly receive a renewal notice if the notice is sent by the board,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will contain a statement in which the applicant affirms that the applicant will not engage in the practice of landscape architecture while using the title “landscape architect” in violation of Iowa Code section </w:t>
      </w:r>
      <w:hyperlink r:id="rId15">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without first complying with all rules governing reinstatement to active status. A person on inactive status may reinstate to active status at any time pursuant to rule </w:t>
      </w:r>
      <w:hyperlink r:id="rId16">
        <w:r>
          <w:rPr>
            <w:rStyle w:val="Hyperlink"/>
            <w:rFonts w:ascii="Times New Roman" w:hAnsi="Times New Roman"/>
            <w:b w:val="false"/>
            <w:i w:val="false"/>
            <w:color w:val="000000"/>
            <w:sz w:val="22"/>
          </w:rPr>
          <w:t>193D—2.8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will be exempt from the continuing education requirements and will be charged a reduced renewal fee as provided in rule </w:t>
      </w:r>
      <w:hyperlink r:id="rId17">
        <w:r>
          <w:rPr>
            <w:rStyle w:val="Hyperlink"/>
            <w:rFonts w:ascii="Times New Roman" w:hAnsi="Times New Roman"/>
            <w:b w:val="false"/>
            <w:i w:val="false"/>
            <w:color w:val="000000"/>
            <w:sz w:val="22"/>
          </w:rPr>
          <w:t>193D—2.10</w:t>
        </w:r>
      </w:hyperlink>
      <w:r>
        <w:rPr>
          <w:rFonts w:ascii="Times New Roman" w:hAnsi="Times New Roman"/>
          <w:b w:val="false"/>
          <w:i w:val="false"/>
          <w:color w:val="000000"/>
          <w:sz w:val="22"/>
        </w:rPr>
        <w:t>(544B,17A). An inactive certificate of licensure will lapse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For an “inactive” licensee, such services may be performed as long as the person does not in connection with such services use the title “landscape architect” or any other title restricted for use only by landscape architects pursuant to Iowa Code section </w:t>
      </w:r>
      <w:hyperlink r:id="rId18">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 or without additional designations such as “inactive”). Restricted titles may be used only by active landscape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 </w:t>
      </w:r>
      <w:hyperlink r:id="rId19">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is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193D—2.8</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 lapsed certificate of licensure to active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$25-per-month fee shall not be assessed if the applicant for reinstatement did not, during the period of lapse, engage in any acts or practices for which an active landscape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professional activities that the applicant performed in Iowa during the period of nonlicensure. The statement shall include a list of all projects with which the applicant had involvement and shall explain the service provided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documented evidence of completion of continuing education based on the licensee’s date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more than 12 months, but less than 24 months from the date of initial licensure, will be required to report 12 contact hours that should have been reported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24 months or more from the date of initial licensure will be required to report 24 contact hours that should have been reported on the June 30 renewal on which the applicant failed to renew and 12 continuing education hours for each year or portion of a year of expired licensure up to a maximum of 48 continuing education hours; however, the hours reported shall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continuing education hours must be completed in health, safety, and welfare subjects acquired in structured educational activities and be in compliance with the requirements in </w:t>
      </w:r>
      <w:hyperlink r:id="rId20">
        <w:r>
          <w:rPr>
            <w:rStyle w:val="Hyperlink"/>
            <w:rFonts w:ascii="Times New Roman" w:hAnsi="Times New Roman"/>
            <w:b w:val="false"/>
            <w:i w:val="false"/>
            <w:color w:val="000000"/>
            <w:sz w:val="22"/>
          </w:rPr>
          <w:t>193D—Chapter 3</w:t>
        </w:r>
      </w:hyperlink>
      <w:r>
        <w:rPr>
          <w:rFonts w:ascii="Times New Roman" w:hAnsi="Times New Roman"/>
          <w:b w:val="false"/>
          <w:i w:val="false"/>
          <w:color w:val="000000"/>
          <w:sz w:val="22"/>
        </w:rPr>
        <w:t>. The continuing education hours used for reinstatement may 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Out-of-state residents may submit a statement from their resident state’s licensing board as documented evidence of compliance with their resident state’s mandatory continuing education requirements during the period of nonlicensure. The statement will bear the seal of the licensing board. Out-of-state residents whose resident state has no mandatory continuing education will comply with the documented evidence requirements outlined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will pay the current active licensure fee. If the individual is reinstating to active status at a date that is less than 12 months from the next biennial renewal date, one-half of the current active licensure fee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submit documented evidence of completion of 24 contact hours of continuing education in health, safety, and welfare subjects in compliance with the requirements in </w:t>
      </w:r>
      <w:hyperlink r:id="rId21">
        <w:r>
          <w:rPr>
            <w:rStyle w:val="Hyperlink"/>
            <w:rFonts w:ascii="Times New Roman" w:hAnsi="Times New Roman"/>
            <w:b w:val="false"/>
            <w:i w:val="false"/>
            <w:color w:val="000000"/>
            <w:sz w:val="22"/>
          </w:rPr>
          <w:t>193D—Chapter 3</w:t>
        </w:r>
      </w:hyperlink>
      <w:r>
        <w:rPr>
          <w:rFonts w:ascii="Times New Roman" w:hAnsi="Times New Roman"/>
          <w:b w:val="false"/>
          <w:i w:val="false"/>
          <w:color w:val="000000"/>
          <w:sz w:val="22"/>
        </w:rPr>
        <w:t>. The continuing education hours used for reinstatement to active status cannot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will complete the appropriate continuing education for subsequent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individual will not be required to report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more than 12 months, but less than 24 months, from the date of the filing of the application to restore the certificate of licensure to active status, the individual will report 12 hours of previously unreported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provide a written statement in which the applicant affirms that the applicant has not engaged in any of the practices in Iowa that are listed in Iowa Code section </w:t>
      </w:r>
      <w:hyperlink r:id="rId22">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 xml:space="preserve"> during the period of inactive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val="false"/>
          <w:color w:val="000000"/>
          <w:sz w:val="22"/>
        </w:rPr>
        <w:t>The board will review reinstatement applications on a case-by-case basis and may, at its discretion, require that the applicant take the LARE as a prerequisite to reinstatement to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193D—2.9</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landscape architect is responsible for verifying the accuracy of the information submitted on applications regardless of how the application is submitted or by whom it is submitted. For instance, if the office manager of a landscape architect’s firm submits an application for renewal on behalf of the landscape architect and that information is incorrect, the landscape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193D—2.10</w:t>
      </w:r>
      <w:r>
        <w:rPr>
          <w:rFonts w:ascii="Times New Roman" w:hAnsi="Times New Roman"/>
          <w:b/>
          <w:i w:val="false"/>
          <w:color w:val="000000"/>
          <w:sz w:val="22"/>
        </w:rPr>
        <w:t xml:space="preserve">(544B,17A)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The appropriate fee shall accompany the application.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488"/>
        <w:gridCol w:w="4032"/>
      </w:tblGrid>
      <w:tr>
        <w:trPr>
          <w:trHeight w:val="495"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Fees for examination subjects shall be paid directly to the testing service selected by CLARB.</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Exemption fee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$300</w:t>
            </w:r>
          </w:p>
        </w:tc>
      </w:tr>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0"/>
              </w:rPr>
              <w:t>(This certificate of licensure is to be effective to the June 30 which is at least</w:t>
            </w:r>
          </w:p>
          <w:p>
            <w:pPr>
              <w:spacing w:before="0" w:after="0"/>
              <w:ind w:left="396"/>
              <w:jc w:val="left"/>
            </w:pPr>
            <w:r>
              <w:rPr>
                <w:rFonts w:ascii="Times New Roman" w:hAnsi="Times New Roman"/>
                <w:b w:val="false"/>
                <w:i w:val="false"/>
                <w:color w:val="000000"/>
                <w:sz w:val="20"/>
              </w:rPr>
              <w:t>12 months beyond the date of the application.)</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Wall certificate replacement fee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Certificate of licensure fee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$15/month</w:t>
            </w:r>
          </w:p>
        </w:tc>
      </w:tr>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0"/>
              </w:rPr>
              <w:t>(This certificate of licensure is to be effective the day</w:t>
            </w:r>
          </w:p>
          <w:p>
            <w:pPr>
              <w:spacing w:before="0" w:after="0"/>
              <w:ind w:left="396"/>
              <w:jc w:val="left"/>
            </w:pPr>
            <w:r>
              <w:rPr>
                <w:rFonts w:ascii="Times New Roman" w:hAnsi="Times New Roman"/>
                <w:b w:val="false"/>
                <w:i w:val="false"/>
                <w:color w:val="000000"/>
                <w:sz w:val="20"/>
              </w:rPr>
              <w:t xml:space="preserve"> of board action until June 30.)</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Biennial licensure fee (active)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$350</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Biennial licensure fee (inactive)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$100</w:t>
            </w:r>
          </w:p>
        </w:tc>
      </w:tr>
      <w:tr>
        <w:trPr>
          <w:trHeight w:val="90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Reinstatement of lapsed licensure to active status</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$100 + renewal fee + $25 per month or partial month of lapsed licensure; not to exceed $750</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Reinstatement of inactive or retired status to active status</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$350</w:t>
            </w:r>
          </w:p>
        </w:tc>
      </w:tr>
      <w:tr>
        <w:trPr>
          <w:trHeight w:val="495"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0"/>
              </w:rPr>
              <w:t>(If less than 12 months from the next biennial renewal, one-half of the current active licensure fee shall be paid.)</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Prelicense determination fee </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5/18/76—published 5/31/76, effective 5/18/76]</w:t>
      </w:r>
    </w:p>
    <w:p>
      <w:pPr>
        <w:spacing w:before="0" w:after="0"/>
        <w:ind w:left="120"/>
        <w:jc w:val="center"/>
      </w:pPr>
      <w:r>
        <w:rPr>
          <w:rFonts w:ascii="Times New Roman" w:hAnsi="Times New Roman"/>
          <w:b w:val="false"/>
          <w:i w:val="false"/>
          <w:color w:val="000000"/>
          <w:sz w:val="21"/>
        </w:rPr>
        <w:t>[Filed emergency 5/25/77, Notice 4/20/77—published 6/15/77, effective 5/25/77]</w:t>
      </w:r>
    </w:p>
    <w:p>
      <w:pPr>
        <w:spacing w:before="0" w:after="0"/>
        <w:ind w:left="120"/>
        <w:jc w:val="center"/>
      </w:pPr>
      <w:r>
        <w:rPr>
          <w:rFonts w:ascii="Times New Roman" w:hAnsi="Times New Roman"/>
          <w:b w:val="false"/>
          <w:i w:val="false"/>
          <w:color w:val="000000"/>
          <w:sz w:val="21"/>
        </w:rPr>
        <w:t>[Filed 7/20/77, Notice 5/4/77—published 8/10/77, effective 9/14/77]</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3/13/80, Notice 2/6/80—published 4/2/80, effective 5/7/80]</w:t>
      </w:r>
    </w:p>
    <w:p>
      <w:pPr>
        <w:spacing w:before="0" w:after="0"/>
        <w:ind w:left="120"/>
        <w:jc w:val="center"/>
      </w:pPr>
      <w:r>
        <w:rPr>
          <w:rFonts w:ascii="Times New Roman" w:hAnsi="Times New Roman"/>
          <w:b w:val="false"/>
          <w:i w:val="false"/>
          <w:color w:val="000000"/>
          <w:sz w:val="21"/>
        </w:rPr>
        <w:t>[Filed emergency 4/30/80—published 5/28/80, effective 5/1/80]</w:t>
      </w:r>
    </w:p>
    <w:p>
      <w:pPr>
        <w:spacing w:before="0" w:after="0"/>
        <w:ind w:left="120"/>
        <w:jc w:val="center"/>
      </w:pPr>
      <w:r>
        <w:rPr>
          <w:rFonts w:ascii="Times New Roman" w:hAnsi="Times New Roman"/>
          <w:b w:val="false"/>
          <w:i w:val="false"/>
          <w:color w:val="000000"/>
          <w:sz w:val="21"/>
        </w:rPr>
        <w:t>[Filed 3/29/82, Notice 1/20/82—published 4/14/82, effective 5/19/82]</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11/19/93, Notice 5/12/93—published 12/8/93, effective 1/12/94]</w:t>
      </w:r>
    </w:p>
    <w:p>
      <w:pPr>
        <w:spacing w:before="0" w:after="0"/>
        <w:ind w:left="120"/>
        <w:jc w:val="center"/>
      </w:pPr>
      <w:r>
        <w:rPr>
          <w:rFonts w:ascii="Times New Roman" w:hAnsi="Times New Roman"/>
          <w:b w:val="false"/>
          <w:i w:val="false"/>
          <w:color w:val="000000"/>
          <w:sz w:val="21"/>
        </w:rPr>
        <w:t>[Filed 10/20/94, Notice 5/11/94—published 11/9/94, effective 12/14/94]</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3/16/04, Notice 1/21/04—published 4/14/04, effective 5/19/04]</w:t>
      </w:r>
    </w:p>
    <w:p>
      <w:pPr>
        <w:spacing w:before="0" w:after="0"/>
        <w:ind w:left="120"/>
        <w:jc w:val="center"/>
      </w:pPr>
      <w:r>
        <w:rPr>
          <w:rFonts w:ascii="Times New Roman" w:hAnsi="Times New Roman"/>
          <w:b w:val="false"/>
          <w:i w:val="false"/>
          <w:color w:val="000000"/>
          <w:sz w:val="21"/>
        </w:rPr>
        <w:t>[Filed 11/3/04, Notice 7/7/04—published 11/24/04, effective 12/29/04]</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2709C</w:t>
      </w:r>
      <w:r>
        <w:rPr>
          <w:rFonts w:ascii="Times New Roman" w:hAnsi="Times New Roman"/>
          <w:b w:val="false"/>
          <w:i w:val="false"/>
          <w:color w:val="000000"/>
          <w:sz w:val="21"/>
        </w:rPr>
        <w:t xml:space="preserve"> (Notice ARC 2475C, IAB 3/30/16)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9155C</w:t>
      </w:r>
      <w:r>
        <w:rPr>
          <w:rFonts w:ascii="Times New Roman" w:hAnsi="Times New Roman"/>
          <w:b w:val="false"/>
          <w:i w:val="false"/>
          <w:color w:val="000000"/>
          <w:sz w:val="21"/>
        </w:rPr>
        <w:t xml:space="preserve"> (Notice ARC 8765C, IAB 1/22/25)</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7.39.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co/chapter/544B.9.pdf" Type="http://schemas.openxmlformats.org/officeDocument/2006/relationships/hyperlink" Id="rId7"/>
    <Relationship TargetMode="External" Target="https://www.legis.iowa.gov/docs/iac/rule/193D.2.8.pdf" Type="http://schemas.openxmlformats.org/officeDocument/2006/relationships/hyperlink" Id="rId8"/>
    <Relationship TargetMode="External" Target="https://www.legis.iowa.gov/docs/iac/chapter/193.7.pdf" Type="http://schemas.openxmlformats.org/officeDocument/2006/relationships/hyperlink" Id="rId9"/>
    <Relationship TargetMode="External" Target="https://www.legis.iowa.gov/docs/iac/rule/193.7.40.pdf" Type="http://schemas.openxmlformats.org/officeDocument/2006/relationships/hyperlink" Id="rId10"/>
    <Relationship TargetMode="External" Target="https://www.legis.iowa.gov/docs/iac/rule/193D.3.3.pdf" Type="http://schemas.openxmlformats.org/officeDocument/2006/relationships/hyperlink" Id="rId11"/>
    <Relationship TargetMode="External" Target="https://www.legis.iowa.gov/docs/iac/rule/193.7.40.pdf" Type="http://schemas.openxmlformats.org/officeDocument/2006/relationships/hyperlink" Id="rId12"/>
    <Relationship TargetMode="External" Target="https://www.legis.iowa.gov/docs/iac/rule/193.7.40.pdf" Type="http://schemas.openxmlformats.org/officeDocument/2006/relationships/hyperlink" Id="rId13"/>
    <Relationship TargetMode="External" Target="https://www.legis.iowa.gov/docs/ico/chapter/544B.18.pdf" Type="http://schemas.openxmlformats.org/officeDocument/2006/relationships/hyperlink" Id="rId14"/>
    <Relationship TargetMode="External" Target="https://www.legis.iowa.gov/docs/ico/chapter/544B.18.pdf" Type="http://schemas.openxmlformats.org/officeDocument/2006/relationships/hyperlink" Id="rId15"/>
    <Relationship TargetMode="External" Target="https://www.legis.iowa.gov/docs/iac/rule/193D.2.8.pdf" Type="http://schemas.openxmlformats.org/officeDocument/2006/relationships/hyperlink" Id="rId16"/>
    <Relationship TargetMode="External" Target="https://www.legis.iowa.gov/docs/iac/rule/193D.2.10.pdf" Type="http://schemas.openxmlformats.org/officeDocument/2006/relationships/hyperlink" Id="rId17"/>
    <Relationship TargetMode="External" Target="https://www.legis.iowa.gov/docs/ico/chapter/544B.18.pdf" Type="http://schemas.openxmlformats.org/officeDocument/2006/relationships/hyperlink" Id="rId18"/>
    <Relationship TargetMode="External" Target="https://www.legis.iowa.gov/docs/ico/chapter/544B.18.pdf" Type="http://schemas.openxmlformats.org/officeDocument/2006/relationships/hyperlink" Id="rId19"/>
    <Relationship TargetMode="External" Target="https://www.legis.iowa.gov/docs/iac/chapter/193D.3.pdf" Type="http://schemas.openxmlformats.org/officeDocument/2006/relationships/hyperlink" Id="rId20"/>
    <Relationship TargetMode="External" Target="https://www.legis.iowa.gov/docs/iac/rule/193D.3..pdf" Type="http://schemas.openxmlformats.org/officeDocument/2006/relationships/hyperlink" Id="rId21"/>
    <Relationship TargetMode="External" Target="https://www.legis.iowa.gov/docs/ico/chapter/544B.1.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44B.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