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DESCRIPTION OF ORGANIZATION</w:t>
      </w:r>
    </w:p>
    <w:p>
      <w:pPr>
        <w:spacing w:before="0" w:after="0"/>
        <w:ind w:left="120"/>
        <w:jc w:val="center"/>
      </w:pPr>
      <w:r>
        <w:rPr>
          <w:rFonts w:ascii="Times New Roman" w:hAnsi="Times New Roman"/>
          <w:b w:val="false"/>
          <w:i w:val="false"/>
          <w:color w:val="000000"/>
          <w:sz w:val="14"/>
        </w:rPr>
        <w:t>[Prior to 3/9/88, see Landscape Architectural Examiners Board[540]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193D—1.1</w:t>
      </w:r>
      <w:r>
        <w:rPr>
          <w:rFonts w:ascii="Times New Roman" w:hAnsi="Times New Roman"/>
          <w:b/>
          <w:i w:val="false"/>
          <w:color w:val="000000"/>
          <w:sz w:val="22"/>
        </w:rPr>
        <w:t xml:space="preserve">(544B,17A)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of words and terms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landscape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“CLARB” </w:t>
      </w:r>
      <w:r>
        <w:rPr>
          <w:rFonts w:ascii="Times New Roman" w:hAnsi="Times New Roman"/>
          <w:b w:val="false"/>
          <w:i w:val="false"/>
          <w:color w:val="000000"/>
          <w:sz w:val="22"/>
        </w:rPr>
        <w:t>means the Council of Landscape Architectural Registration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means any document or record of any kind of drawings, specifications, photographs, diplomas, licensee statements, published data and certified personal statements as may be required as a part of any action on the part of the board. Each item of evidence shall be clearly marked to ensure positive and certain identification. It is the responsibility of the applicant to satisfy the board as to the sufficiency of the record and the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w:t>
      </w:r>
      <w:r>
        <w:rPr>
          <w:rFonts w:ascii="Times New Roman" w:hAnsi="Times New Roman"/>
          <w:b w:val="false"/>
          <w:i w:val="false"/>
          <w:color w:val="000000"/>
          <w:sz w:val="22"/>
        </w:rPr>
        <w:t>means that a landscape architect is not engaged in Iowa in any practice for which a certificate of licensure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 landscape architect” </w:t>
      </w:r>
      <w:r>
        <w:rPr>
          <w:rFonts w:ascii="Times New Roman" w:hAnsi="Times New Roman"/>
          <w:b w:val="false"/>
          <w:i w:val="false"/>
          <w:color w:val="000000"/>
          <w:sz w:val="22"/>
        </w:rPr>
        <w:t>means an individual who is not licensed and has a degree in landscape architecture and is employed under the direct supervision of a professional landscape architect. The initials “I.L.A.” should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“LARE” </w:t>
      </w:r>
      <w:r>
        <w:rPr>
          <w:rFonts w:ascii="Times New Roman" w:hAnsi="Times New Roman"/>
          <w:b w:val="false"/>
          <w:i w:val="false"/>
          <w:color w:val="000000"/>
          <w:sz w:val="22"/>
        </w:rPr>
        <w:t>means the Landscape Architecture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“Practice of landscape architecture” </w:t>
      </w:r>
      <w:r>
        <w:rPr>
          <w:rFonts w:ascii="Times New Roman" w:hAnsi="Times New Roman"/>
          <w:b w:val="false"/>
          <w:i w:val="false"/>
          <w:color w:val="000000"/>
          <w:sz w:val="22"/>
        </w:rPr>
        <w:t xml:space="preserve">means the performance of professional service or offering to render professional services to clients, including any one or any combination of the professional services defined in Iowa Code section </w:t>
      </w:r>
      <w:hyperlink r:id="rId5">
        <w:r>
          <w:rPr>
            <w:rStyle w:val="Hyperlink"/>
            <w:rFonts w:ascii="Times New Roman" w:hAnsi="Times New Roman"/>
            <w:b w:val="false"/>
            <w:i w:val="false"/>
            <w:color w:val="000000"/>
            <w:sz w:val="22"/>
          </w:rPr>
          <w:t>544B.1(2)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landscape architect” </w:t>
      </w:r>
      <w:r>
        <w:rPr>
          <w:rFonts w:ascii="Times New Roman" w:hAnsi="Times New Roman"/>
          <w:b w:val="false"/>
          <w:i w:val="false"/>
          <w:color w:val="000000"/>
          <w:sz w:val="22"/>
        </w:rPr>
        <w:t xml:space="preserve">means a person who obtains a license and engages in the practice of landscape architecture under the authority of Iowa Code chapter </w:t>
      </w:r>
      <w:hyperlink r:id="rId6">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For the purposes of these rules, a professional landscape architect may be referred to as a landscape architect and may use the initials “P.L.A.”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“Years of practical experience” </w:t>
      </w:r>
      <w:r>
        <w:rPr>
          <w:rFonts w:ascii="Times New Roman" w:hAnsi="Times New Roman"/>
          <w:b w:val="false"/>
          <w:i w:val="false"/>
          <w:color w:val="000000"/>
          <w:sz w:val="22"/>
        </w:rPr>
        <w:t>means, for each year of practical experience the applicant has worked performing landscape architectural services, a minimum of 2,080 hours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193D—1.2</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The board consists of five licensed professional landscape architects and two members who are not licensed professional landscape architects and who represent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professional landscape architect board members. </w:t>
      </w:r>
      <w:r>
        <w:rPr>
          <w:rFonts w:ascii="Times New Roman" w:hAnsi="Times New Roman"/>
          <w:b w:val="false"/>
          <w:i w:val="false"/>
          <w:color w:val="000000"/>
          <w:sz w:val="22"/>
        </w:rPr>
        <w:t>Four of the five professional members will be actively engaged in the practice of landscape architecture or the teaching of landscape architecture in an accredited college or university and shall have been so engaged for five years preceding appointment, the last two of which shall have been in Iowa. One of the five professional members will be actively engaged in the practice of landscape architecture or the teaching of landscape architecture in an accredited college or university and may have been so engaged for fewer than five years preceding.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Election of chairperson and vice chairperson. </w:t>
      </w:r>
      <w:r>
        <w:rPr>
          <w:rFonts w:ascii="Times New Roman" w:hAnsi="Times New Roman"/>
          <w:b w:val="false"/>
          <w:i w:val="false"/>
          <w:color w:val="000000"/>
          <w:sz w:val="22"/>
        </w:rPr>
        <w:t>The board elects annually from its members a chairperson and a vice chairperson. A quorum of the board will be four members, and all final motions and actions must receive a vote by a majority of the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Duties of board. </w:t>
      </w:r>
      <w:r>
        <w:rPr>
          <w:rFonts w:ascii="Times New Roman" w:hAnsi="Times New Roman"/>
          <w:b w:val="false"/>
          <w:i w:val="false"/>
          <w:color w:val="000000"/>
          <w:sz w:val="22"/>
        </w:rPr>
        <w:t xml:space="preserve">The board enforces the provisions of Iowa Code chapter </w:t>
      </w:r>
      <w:hyperlink r:id="rId7">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makes rules for the examination of applications for licensure. The board keeps records of its proceedings. The board adopts an official seal that is affixed to all certificates of licensure granted. The board makes other rules, not inconsistent with law, as necessary for the proper performance of its duties. The board maintains a roster showing the name, place of business, residence, and date and number of the certificate of licensure of every professional landscape architect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Duties of chairperson. </w:t>
      </w:r>
      <w:r>
        <w:rPr>
          <w:rFonts w:ascii="Times New Roman" w:hAnsi="Times New Roman"/>
          <w:b w:val="false"/>
          <w:i w:val="false"/>
          <w:color w:val="000000"/>
          <w:sz w:val="22"/>
        </w:rPr>
        <w:t>The chairperson will, when present, preside at meetings, appoint committees, and perform all duties and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Duties of vice chairperson. </w:t>
      </w:r>
      <w:r>
        <w:rPr>
          <w:rFonts w:ascii="Times New Roman" w:hAnsi="Times New Roman"/>
          <w:b w:val="false"/>
          <w:i w:val="false"/>
          <w:color w:val="000000"/>
          <w:sz w:val="22"/>
        </w:rPr>
        <w:t>The vice chairperson will, in the absence or incapacity of the chairperson, exercise the duties and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193D—1.3</w:t>
      </w:r>
      <w:r>
        <w:rPr>
          <w:rFonts w:ascii="Times New Roman" w:hAnsi="Times New Roman"/>
          <w:b/>
          <w:i w:val="false"/>
          <w:color w:val="000000"/>
          <w:sz w:val="22"/>
        </w:rPr>
        <w:t xml:space="preserve">(544B,17A)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Calls for meetings are issued in accordance with Iowa Code section </w:t>
      </w:r>
      <w:hyperlink r:id="rId8">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193D—1.4</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Order of business. </w:t>
      </w:r>
      <w:r>
        <w:rPr>
          <w:rFonts w:ascii="Times New Roman" w:hAnsi="Times New Roman"/>
          <w:b w:val="false"/>
          <w:i w:val="false"/>
          <w:color w:val="000000"/>
          <w:sz w:val="22"/>
        </w:rPr>
        <w:t>The board executive will prepare an agenda listing all matters to be discussed at meetings. A copy of this agenda will be available to each member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193D—1.5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Interim waivers. </w:t>
      </w:r>
      <w:r>
        <w:rPr>
          <w:rFonts w:ascii="Times New Roman" w:hAnsi="Times New Roman"/>
          <w:b w:val="false"/>
          <w:i w:val="false"/>
          <w:color w:val="000000"/>
          <w:sz w:val="22"/>
        </w:rPr>
        <w:t xml:space="preserve">In addition to the provisions of </w:t>
      </w:r>
      <w:hyperlink r:id="rId9">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the following will apply for interim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The board chairperson, or vice chairperson if the chairperson is not available, may rule on a petition for waiver when it would not be timely to wait for the next regularly scheduled board meeting for a ruling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administrator, upon receipt of a petition that meets all applicable criteria established in </w:t>
      </w:r>
      <w:hyperlink r:id="rId10">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will present the request to the board chairperson or vice chairperson along with all pertinent information regarding established precedent for granting or denying such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will reserve the right to hold an electronic meeting of the board when prior board precedent does not clearly resolve the request, input of the board is deemed required and the practical result of waiting until the next regularly scheduled meeting would be a denial of the request due to timing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val="false"/>
          <w:color w:val="000000"/>
          <w:sz w:val="22"/>
        </w:rPr>
        <w:t>A waiver report will be placed on the agenda of the next regularly scheduled board meeting and recorded in the minutes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val="false"/>
          <w:color w:val="000000"/>
          <w:sz w:val="22"/>
        </w:rPr>
        <w:t>This rule on interim rulings does not apply if the waiver was filed in a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544B.3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544B.5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544B.15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2/2/76, Notice 12/29/75—published 2/9/76, effective 2/2/76]</w:t>
      </w:r>
    </w:p>
    <w:p>
      <w:pPr>
        <w:spacing w:before="0" w:after="0"/>
        <w:ind w:left="120"/>
        <w:jc w:val="center"/>
      </w:pPr>
      <w:r>
        <w:rPr>
          <w:rFonts w:ascii="Times New Roman" w:hAnsi="Times New Roman"/>
          <w:b w:val="false"/>
          <w:i w:val="false"/>
          <w:color w:val="000000"/>
          <w:sz w:val="21"/>
        </w:rPr>
        <w:t>[Filed emergency 4/14/78—published 5/3/78, effective 4/14/78]</w:t>
      </w:r>
    </w:p>
    <w:p>
      <w:pPr>
        <w:spacing w:before="0" w:after="0"/>
        <w:ind w:left="120"/>
        <w:jc w:val="center"/>
      </w:pPr>
      <w:r>
        <w:rPr>
          <w:rFonts w:ascii="Times New Roman" w:hAnsi="Times New Roman"/>
          <w:b w:val="false"/>
          <w:i w:val="false"/>
          <w:color w:val="000000"/>
          <w:sz w:val="21"/>
        </w:rPr>
        <w:t>[Filed 12/2/83, Notice 10/26/83—published 12/21/83, effective 1/25/84]</w:t>
      </w:r>
    </w:p>
    <w:p>
      <w:pPr>
        <w:spacing w:before="0" w:after="0"/>
        <w:ind w:left="120"/>
        <w:jc w:val="center"/>
      </w:pPr>
      <w:r>
        <w:rPr>
          <w:rFonts w:ascii="Times New Roman" w:hAnsi="Times New Roman"/>
          <w:b w:val="false"/>
          <w:i w:val="false"/>
          <w:color w:val="000000"/>
          <w:sz w:val="21"/>
        </w:rPr>
        <w:t>[Filed 2/18/88, Notice 12/16/87—published 3/9/88, effective 4/13/88]</w:t>
      </w:r>
    </w:p>
    <w:p>
      <w:pPr>
        <w:spacing w:before="0" w:after="0"/>
        <w:ind w:left="120"/>
        <w:jc w:val="center"/>
      </w:pPr>
      <w:r>
        <w:rPr>
          <w:rFonts w:ascii="Times New Roman" w:hAnsi="Times New Roman"/>
          <w:b w:val="false"/>
          <w:i w:val="false"/>
          <w:color w:val="000000"/>
          <w:sz w:val="21"/>
        </w:rPr>
        <w:t>[Filed without Notice 2/18/88—published 3/9/88, effective 4/13/88]</w:t>
      </w:r>
    </w:p>
    <w:p>
      <w:pPr>
        <w:spacing w:before="0" w:after="0"/>
        <w:ind w:left="120"/>
        <w:jc w:val="center"/>
      </w:pPr>
      <w:r>
        <w:rPr>
          <w:rFonts w:ascii="Times New Roman" w:hAnsi="Times New Roman"/>
          <w:b w:val="false"/>
          <w:i w:val="false"/>
          <w:color w:val="000000"/>
          <w:sz w:val="21"/>
        </w:rPr>
        <w:t>[Filed 10/16/95, Notice 8/2/95—published 11/8/95, effective 12/13/95]</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7/24/03, Notice 5/14/03—published 8/20/03, effective 9/24/03]</w:t>
      </w:r>
    </w:p>
    <w:p>
      <w:pPr>
        <w:spacing w:before="0" w:after="0"/>
        <w:ind w:left="120"/>
        <w:jc w:val="center"/>
      </w:pPr>
      <w:r>
        <w:rPr>
          <w:rFonts w:ascii="Times New Roman" w:hAnsi="Times New Roman"/>
          <w:b w:val="false"/>
          <w:i w:val="false"/>
          <w:color w:val="000000"/>
          <w:sz w:val="21"/>
        </w:rPr>
        <w:t>[Filed ARC 0213C</w:t>
      </w:r>
      <w:r>
        <w:rPr>
          <w:rFonts w:ascii="Times New Roman" w:hAnsi="Times New Roman"/>
          <w:b w:val="false"/>
          <w:i w:val="false"/>
          <w:color w:val="000000"/>
          <w:sz w:val="21"/>
        </w:rPr>
        <w:t xml:space="preserve"> (Notice ARC 0086C,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3097C</w:t>
      </w:r>
      <w:r>
        <w:rPr>
          <w:rFonts w:ascii="Times New Roman" w:hAnsi="Times New Roman"/>
          <w:b w:val="false"/>
          <w:i w:val="false"/>
          <w:color w:val="000000"/>
          <w:sz w:val="21"/>
        </w:rPr>
        <w:t xml:space="preserve"> (Notice ARC 2941C, IAB 2/15/17)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5571C</w:t>
      </w:r>
      <w:r>
        <w:rPr>
          <w:rFonts w:ascii="Times New Roman" w:hAnsi="Times New Roman"/>
          <w:b w:val="false"/>
          <w:i w:val="false"/>
          <w:color w:val="000000"/>
          <w:sz w:val="21"/>
        </w:rPr>
        <w:t xml:space="preserve"> (Notice ARC 5430C, IAB 2/10/21)</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9154C</w:t>
      </w:r>
      <w:r>
        <w:rPr>
          <w:rFonts w:ascii="Times New Roman" w:hAnsi="Times New Roman"/>
          <w:b w:val="false"/>
          <w:i w:val="false"/>
          <w:color w:val="000000"/>
          <w:sz w:val="21"/>
        </w:rPr>
        <w:t xml:space="preserve"> (Notice ARC 8764C, IAB 1/22/25)</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B.1.pdf" Type="http://schemas.openxmlformats.org/officeDocument/2006/relationships/hyperlink" Id="rId5"/>
    <Relationship TargetMode="External" Target="https://www.legis.iowa.gov/docs/ico/chapter/544B.pdf" Type="http://schemas.openxmlformats.org/officeDocument/2006/relationships/hyperlink" Id="rId6"/>
    <Relationship TargetMode="External" Target="https://www.legis.iowa.gov/docs/ico/chapter/544B.pdf" Type="http://schemas.openxmlformats.org/officeDocument/2006/relationships/hyperlink" Id="rId7"/>
    <Relationship TargetMode="External" Target="https://www.legis.iowa.gov/docs/ico/chapter/21.4.pdf" Type="http://schemas.openxmlformats.org/officeDocument/2006/relationships/hyperlink" Id="rId8"/>
    <Relationship TargetMode="External" Target="https://www.legis.iowa.gov/docs/iac/chapter/481.6.pdf" Type="http://schemas.openxmlformats.org/officeDocument/2006/relationships/hyperlink" Id="rId9"/>
    <Relationship TargetMode="External" Target="https://www.legis.iowa.gov/docs/iac/chapter/481.6.pdf" Type="http://schemas.openxmlformats.org/officeDocument/2006/relationships/hyperlink" Id="rId10"/>
    <Relationship TargetMode="External" Target="https://www.legis.iowa.gov/docs/ico/chapter/544B.3.pdf" Type="http://schemas.openxmlformats.org/officeDocument/2006/relationships/hyperlink" Id="rId11"/>
    <Relationship TargetMode="External" Target="https://www.legis.iowa.gov/docs/ico/chapter/544B.5.pdf" Type="http://schemas.openxmlformats.org/officeDocument/2006/relationships/hyperlink" Id="rId12"/>
    <Relationship TargetMode="External" Target="https://www.legis.iowa.gov/docs/ico/chapter/544B.1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