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SUBSTANTIVE AND INTERPRETIVE RULES</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876—8.1</w:t>
      </w:r>
      <w:r>
        <w:rPr>
          <w:rFonts w:ascii="Times New Roman" w:hAnsi="Times New Roman"/>
          <w:b/>
          <w:i w:val="false"/>
          <w:color w:val="000000"/>
          <w:sz w:val="22"/>
        </w:rPr>
        <w:t xml:space="preserve">(85) </w:t>
      </w:r>
      <w:r>
        <w:rPr>
          <w:rFonts w:ascii="Times New Roman" w:hAnsi="Times New Roman"/>
          <w:b/>
          <w:i w:val="false"/>
          <w:color w:val="000000"/>
          <w:sz w:val="22"/>
        </w:rPr>
        <w:t xml:space="preserve">Transportation expense. </w:t>
      </w:r>
      <w:r>
        <w:rPr>
          <w:rFonts w:ascii="Times New Roman" w:hAnsi="Times New Roman"/>
          <w:b w:val="false"/>
          <w:i w:val="false"/>
          <w:color w:val="000000"/>
          <w:sz w:val="22"/>
        </w:rPr>
        <w:t xml:space="preserve">Transportation expense as provided in Iowa Code sections </w:t>
      </w:r>
      <w:hyperlink r:id="rId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shall include but not be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 of public transportation if tendered by the employer or insurance carrier.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mileage incident to the use of a private auto. The per-mile rate shall be the rate allowed by the Internal Revenue Service for the business standard mileage rate in effect on July 1 of each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Meals and lodging if reasonably incident to the examination.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Taxi fares or other forms of local transportation if incident to the use of public transportation.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Ambulance service or other special means of transportation if deemed necessary by competent medical evidence or by agreement of the parties.</w:t>
      </w:r>
    </w:p>
    <w:p>
      <w:pPr>
        <w:spacing w:before="0" w:after="0"/>
        <w:ind w:left="120"/>
        <w:jc w:val="both"/>
      </w:pPr>
      <w:r>
        <w:rPr>
          <w:rFonts w:ascii="Times New Roman" w:hAnsi="Times New Roman"/>
          <w:b w:val="false"/>
          <w:i w:val="false"/>
          <w:color w:val="000000"/>
          <w:sz w:val="22"/>
        </w:rPr>
        <w:t xml:space="preserve">Transportation expenses in the form of reimbursement for mileage which is incurred in the course of treatment or an examination, except under Iowa Code section </w:t>
      </w:r>
      <w:hyperlink r:id="rId7">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shall be payable at such time as 50 miles or more have accumulated or upon completion of medical care, whichever occurs first. Reimbursement for mileage incurred under Iowa Code section </w:t>
      </w:r>
      <w:hyperlink r:id="rId8">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shall be paid within a reasonable time after the examination.</w:t>
      </w:r>
    </w:p>
    <w:p>
      <w:pPr>
        <w:spacing w:before="0" w:after="0"/>
        <w:ind w:left="120"/>
        <w:jc w:val="both"/>
      </w:pPr>
      <w:r>
        <w:rPr>
          <w:rFonts w:ascii="Times New Roman" w:hAnsi="Times New Roman"/>
          <w:b w:val="false"/>
          <w:i w:val="false"/>
          <w:color w:val="000000"/>
          <w:sz w:val="22"/>
        </w:rPr>
        <w:t>The workers’ compensation commissioner or a deputy workers’ compensation commissioner may order transportation expenses to be paid in advance of an examination or treatment. The parties may agree to the advance payment of transportation expenses.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876—8.2</w:t>
      </w:r>
      <w:r>
        <w:rPr>
          <w:rFonts w:ascii="Times New Roman" w:hAnsi="Times New Roman"/>
          <w:b/>
          <w:i w:val="false"/>
          <w:color w:val="000000"/>
          <w:sz w:val="22"/>
        </w:rPr>
        <w:t xml:space="preserve">(85) </w:t>
      </w:r>
      <w:r>
        <w:rPr>
          <w:rFonts w:ascii="Times New Roman" w:hAnsi="Times New Roman"/>
          <w:b/>
          <w:i w:val="false"/>
          <w:color w:val="000000"/>
          <w:sz w:val="22"/>
        </w:rPr>
        <w:t xml:space="preserve">Overtime. </w:t>
      </w:r>
      <w:r>
        <w:rPr>
          <w:rFonts w:ascii="Times New Roman" w:hAnsi="Times New Roman"/>
          <w:b w:val="false"/>
          <w:i w:val="false"/>
          <w:color w:val="000000"/>
          <w:sz w:val="22"/>
        </w:rPr>
        <w:t xml:space="preserve">The word “overtime” as used in Iowa Code section </w:t>
      </w:r>
      <w:hyperlink r:id="rId1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means amounts due in excess of the straight time rate for overtime hours worked. Such excess amounts shall not be considered in determining gross weekly wages within Iowa Code section </w:t>
      </w:r>
      <w:hyperlink r:id="rId12">
        <w:r>
          <w:rPr>
            <w:rStyle w:val="Hyperlink"/>
            <w:rFonts w:ascii="Times New Roman" w:hAnsi="Times New Roman"/>
            <w:b w:val="false"/>
            <w:i w:val="false"/>
            <w:color w:val="000000"/>
            <w:sz w:val="22"/>
          </w:rPr>
          <w:t>85.36</w:t>
        </w:r>
      </w:hyperlink>
      <w:r>
        <w:rPr>
          <w:rFonts w:ascii="Times New Roman" w:hAnsi="Times New Roman"/>
          <w:b w:val="false"/>
          <w:i w:val="false"/>
          <w:color w:val="000000"/>
          <w:sz w:val="22"/>
        </w:rPr>
        <w:t>. Overtime hours at the straight time rate are included in determining gross weekly earnings.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85.36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876—8.3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876—8.4</w:t>
      </w:r>
      <w:r>
        <w:rPr>
          <w:rFonts w:ascii="Times New Roman" w:hAnsi="Times New Roman"/>
          <w:b/>
          <w:i w:val="false"/>
          <w:color w:val="000000"/>
          <w:sz w:val="22"/>
        </w:rPr>
        <w:t xml:space="preserve">(85) </w:t>
      </w:r>
      <w:r>
        <w:rPr>
          <w:rFonts w:ascii="Times New Roman" w:hAnsi="Times New Roman"/>
          <w:b/>
          <w:i w:val="false"/>
          <w:color w:val="000000"/>
          <w:sz w:val="22"/>
        </w:rPr>
        <w:t xml:space="preserve">Salary in lieu of compensation. </w:t>
      </w:r>
      <w:r>
        <w:rPr>
          <w:rFonts w:ascii="Times New Roman" w:hAnsi="Times New Roman"/>
          <w:b w:val="false"/>
          <w:i w:val="false"/>
          <w:color w:val="000000"/>
          <w:sz w:val="22"/>
        </w:rPr>
        <w:t>The excess payment made by an employer in lieu of compensation which exceeds the applicable weekly compensation rate shall not be construed as advance payment with respect to either future temporary disability, healing period, permanent partial disability, permanent total disability or death.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85.34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85.36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85.37</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876—8.5</w:t>
      </w:r>
      <w:r>
        <w:rPr>
          <w:rFonts w:ascii="Times New Roman" w:hAnsi="Times New Roman"/>
          <w:b/>
          <w:i w:val="false"/>
          <w:color w:val="000000"/>
          <w:sz w:val="22"/>
        </w:rPr>
        <w:t xml:space="preserve">(85) </w:t>
      </w:r>
      <w:r>
        <w:rPr>
          <w:rFonts w:ascii="Times New Roman" w:hAnsi="Times New Roman"/>
          <w:b/>
          <w:i w:val="false"/>
          <w:color w:val="000000"/>
          <w:sz w:val="22"/>
        </w:rPr>
        <w:t xml:space="preserve">Appliances. </w:t>
      </w:r>
      <w:r>
        <w:rPr>
          <w:rFonts w:ascii="Times New Roman" w:hAnsi="Times New Roman"/>
          <w:b w:val="false"/>
          <w:i w:val="false"/>
          <w:color w:val="000000"/>
          <w:sz w:val="22"/>
        </w:rPr>
        <w:t>Appliances are defined as hearing aids, corrective lenses, orthodontic devices, dentures, orthopedic braces, or any other artificial device used to provide function or for therapeutic purposes.</w:t>
      </w:r>
    </w:p>
    <w:p>
      <w:pPr>
        <w:spacing w:before="0" w:after="0"/>
        <w:ind w:left="120"/>
        <w:jc w:val="both"/>
      </w:pPr>
      <w:r>
        <w:rPr>
          <w:rFonts w:ascii="Times New Roman" w:hAnsi="Times New Roman"/>
          <w:b w:val="false"/>
          <w:i w:val="false"/>
          <w:color w:val="000000"/>
          <w:sz w:val="22"/>
        </w:rPr>
        <w:t xml:space="preserve">Appliances which are for the correction of a condition resulting from an injury or appliances which are damaged or made unusable as a result of an injury or avoidance of an injury are compensable under Iowa Code section </w:t>
      </w:r>
      <w:hyperlink r:id="rId2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876—8.6</w:t>
      </w:r>
      <w:r>
        <w:rPr>
          <w:rFonts w:ascii="Times New Roman" w:hAnsi="Times New Roman"/>
          <w:b/>
          <w:i w:val="false"/>
          <w:color w:val="000000"/>
          <w:sz w:val="22"/>
        </w:rPr>
        <w:t xml:space="preserve">(85,85A) </w:t>
      </w:r>
      <w:r>
        <w:rPr>
          <w:rFonts w:ascii="Times New Roman" w:hAnsi="Times New Roman"/>
          <w:b/>
          <w:i w:val="false"/>
          <w:color w:val="000000"/>
          <w:sz w:val="22"/>
        </w:rPr>
        <w:t xml:space="preserve">Calendar days—decimal equivalent. </w:t>
      </w:r>
      <w:r>
        <w:rPr>
          <w:rFonts w:ascii="Times New Roman" w:hAnsi="Times New Roman"/>
          <w:b w:val="false"/>
          <w:i w:val="false"/>
          <w:color w:val="000000"/>
          <w:sz w:val="22"/>
        </w:rPr>
        <w:t xml:space="preserve">Weekly compensation benefits payable under Iowa Code chapters </w:t>
      </w:r>
      <w:hyperlink r:id="rId21">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are based upon a seven-day calendar week. Each day of weekly compensation benefits due may be paid by multiplying the employee’s weekly compensation benefit rate by the decimal equivalents of the number of days as follows:</w:t>
      </w:r>
    </w:p>
    <w:tbl>
      <w:tblPr>
        <w:tblW w:w="0" w:type="auto"/>
        <w:tblCellSpacing w:w="0" w:type="auto"/>
        <w:tblBorders>
          <w:top w:val="none"/>
          <w:left w:val="none"/>
          <w:bottom w:val="none"/>
          <w:right w:val="none"/>
          <w:insideH w:val="none"/>
          <w:insideV w:val="none"/>
        </w:tblBorders>
        <w:tblLayout w:type="fixed"/>
      </w:tblPr>
      <w:tblGrid>
        <w:gridCol w:w="934"/>
        <w:gridCol w:w="259"/>
        <w:gridCol w:w="576"/>
        <w:gridCol w:w="259"/>
        <w:gridCol w:w="1344"/>
      </w:tblGrid>
      <w:tr>
        <w:trPr>
          <w:trHeight w:val="210" w:hRule="atLeast"/>
        </w:trPr>
        <w:tc>
          <w:tcPr>
            <w:tcW w:w="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day</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.143</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days</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.286</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days</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.429</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days</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.571</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days</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.714</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days</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.857</w:t>
            </w:r>
          </w:p>
        </w:tc>
        <w:tc>
          <w:tcPr>
            <w:tcW w:w="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85.33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85.34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876—8.7</w:t>
      </w:r>
      <w:r>
        <w:rPr>
          <w:rFonts w:ascii="Times New Roman" w:hAnsi="Times New Roman"/>
          <w:b/>
          <w:i w:val="false"/>
          <w:color w:val="000000"/>
          <w:sz w:val="22"/>
        </w:rPr>
        <w:t xml:space="preserve">(86) </w:t>
      </w:r>
      <w:r>
        <w:rPr>
          <w:rFonts w:ascii="Times New Roman" w:hAnsi="Times New Roman"/>
          <w:b/>
          <w:i w:val="false"/>
          <w:color w:val="000000"/>
          <w:sz w:val="22"/>
        </w:rPr>
        <w:t xml:space="preserve">Short paper. </w:t>
      </w:r>
      <w:r>
        <w:rPr>
          <w:rFonts w:ascii="Times New Roman" w:hAnsi="Times New Roman"/>
          <w:b w:val="false"/>
          <w:i w:val="false"/>
          <w:color w:val="000000"/>
          <w:sz w:val="22"/>
        </w:rPr>
        <w:t>All paper filings before the workers’ compensation commissioner shall be on white paper measuring 8½ inches by 11 inches.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876—8.8</w:t>
      </w:r>
      <w:r>
        <w:rPr>
          <w:rFonts w:ascii="Times New Roman" w:hAnsi="Times New Roman"/>
          <w:b/>
          <w:i w:val="false"/>
          <w:color w:val="000000"/>
          <w:sz w:val="22"/>
        </w:rPr>
        <w:t xml:space="preserve">(85,17A) </w:t>
      </w:r>
      <w:r>
        <w:rPr>
          <w:rFonts w:ascii="Times New Roman" w:hAnsi="Times New Roman"/>
          <w:b/>
          <w:i w:val="false"/>
          <w:color w:val="000000"/>
          <w:sz w:val="22"/>
        </w:rPr>
        <w:t xml:space="preserve">Payroll tax tables. </w:t>
      </w:r>
      <w:r>
        <w:rPr>
          <w:rFonts w:ascii="Times New Roman" w:hAnsi="Times New Roman"/>
          <w:b w:val="false"/>
          <w:i w:val="false"/>
          <w:color w:val="000000"/>
          <w:sz w:val="22"/>
        </w:rPr>
        <w:t>Tables for determining payroll taxes to be used for the period July 1, 2022, through June 30, 2023, are the tables in effect on July 1, 2022, for computation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income tax withholding according to the percentage method of withholding for weekly payroll period. (Federal Income Tax Withholding Methods, Publication 15-T [2021].)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Iowa individual income tax withholding formula. (Iowa Department of Revenue [Effective January 1, 2022].)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Social Security and Medicare withholding (FICA) at the rate of 7.65 percent. (Internal Revenue Service, Circular E, Employer’s Tax Guide, Publication 15 [2021].)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85.61(6)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8943B</w:t>
      </w:r>
      <w:r>
        <w:rPr>
          <w:rFonts w:ascii="Times New Roman" w:hAnsi="Times New Roman"/>
          <w:b w:val="false"/>
          <w:i w:val="false"/>
          <w:color w:val="000000"/>
          <w:sz w:val="16"/>
        </w:rPr>
        <w:t>, IAB 7/28/10,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9586B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0222C</w:t>
      </w:r>
      <w:r>
        <w:rPr>
          <w:rFonts w:ascii="Times New Roman" w:hAnsi="Times New Roman"/>
          <w:b w:val="false"/>
          <w:i w:val="false"/>
          <w:color w:val="000000"/>
          <w:sz w:val="16"/>
        </w:rPr>
        <w:t>, IAB 7/25/12,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0835C</w:t>
      </w:r>
      <w:r>
        <w:rPr>
          <w:rFonts w:ascii="Times New Roman" w:hAnsi="Times New Roman"/>
          <w:b w:val="false"/>
          <w:i w:val="false"/>
          <w:color w:val="000000"/>
          <w:sz w:val="16"/>
        </w:rPr>
        <w:t>, IAB 7/10/13, effective 6/30/13</w:t>
      </w:r>
      <w:r>
        <w:rPr>
          <w:rFonts w:ascii="Times New Roman" w:hAnsi="Times New Roman"/>
          <w:b w:val="false"/>
          <w:i w:val="false"/>
          <w:color w:val="000000"/>
          <w:sz w:val="16"/>
        </w:rPr>
        <w:t xml:space="preserve">; </w:t>
      </w:r>
      <w:r>
        <w:rPr>
          <w:rFonts w:ascii="Times New Roman" w:hAnsi="Times New Roman"/>
          <w:b/>
          <w:i w:val="false"/>
          <w:color w:val="000000"/>
          <w:sz w:val="16"/>
        </w:rPr>
        <w:t>ARC 1517C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2611C</w:t>
      </w:r>
      <w:r>
        <w:rPr>
          <w:rFonts w:ascii="Times New Roman" w:hAnsi="Times New Roman"/>
          <w:b w:val="false"/>
          <w:i w:val="false"/>
          <w:color w:val="000000"/>
          <w:sz w:val="16"/>
        </w:rPr>
        <w:t>, IAB 7/6/16,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3044C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i w:val="false"/>
          <w:color w:val="000000"/>
          <w:sz w:val="16"/>
        </w:rPr>
        <w:t>ARC 3884C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4415C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 xml:space="preserve">; </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 xml:space="preserve">; </w:t>
      </w:r>
      <w:r>
        <w:rPr>
          <w:rFonts w:ascii="Times New Roman" w:hAnsi="Times New Roman"/>
          <w:b/>
          <w:i w:val="false"/>
          <w:color w:val="000000"/>
          <w:sz w:val="16"/>
        </w:rPr>
        <w:t>ARC 5630C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i w:val="false"/>
          <w:color w:val="000000"/>
          <w:sz w:val="16"/>
        </w:rPr>
        <w:t>ARC 6318C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876—8.9</w:t>
      </w:r>
      <w:r>
        <w:rPr>
          <w:rFonts w:ascii="Times New Roman" w:hAnsi="Times New Roman"/>
          <w:b/>
          <w:i w:val="false"/>
          <w:color w:val="000000"/>
          <w:sz w:val="22"/>
        </w:rPr>
        <w:t xml:space="preserve">(85) </w:t>
      </w:r>
      <w:r>
        <w:rPr>
          <w:rFonts w:ascii="Times New Roman" w:hAnsi="Times New Roman"/>
          <w:b/>
          <w:i w:val="false"/>
          <w:color w:val="000000"/>
          <w:sz w:val="22"/>
        </w:rPr>
        <w:t xml:space="preserve">Rate determination. </w:t>
      </w:r>
      <w:r>
        <w:rPr>
          <w:rFonts w:ascii="Times New Roman" w:hAnsi="Times New Roman"/>
          <w:b w:val="false"/>
          <w:i w:val="false"/>
          <w:color w:val="000000"/>
          <w:sz w:val="22"/>
        </w:rPr>
        <w:t xml:space="preserve">When determining the rate of weekly compensation benefits for a contested case proceeding, the parties to the case shall use the ratebook in effect on the date of the claimant’s injury published by the division of workers’ compensation at </w:t>
      </w:r>
      <w:hyperlink r:id="rId28">
        <w:r>
          <w:rPr>
            <w:rStyle w:val="Hyperlink"/>
            <w:rFonts w:ascii="Times New Roman" w:hAnsi="Times New Roman"/>
            <w:b w:val="false"/>
            <w:i w:val="false"/>
            <w:color w:val="000000"/>
            <w:sz w:val="22"/>
            <w:u w:val="single"/>
          </w:rPr>
          <w:t>dial.iowa.gov/hearings/workers-comp/rates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876—8.10</w:t>
      </w:r>
      <w:r>
        <w:rPr>
          <w:rFonts w:ascii="Times New Roman" w:hAnsi="Times New Roman"/>
          <w:b/>
          <w:i w:val="false"/>
          <w:color w:val="000000"/>
          <w:sz w:val="22"/>
        </w:rPr>
        <w:t xml:space="preserve">(85,86) </w:t>
      </w:r>
      <w:r>
        <w:rPr>
          <w:rFonts w:ascii="Times New Roman" w:hAnsi="Times New Roman"/>
          <w:b/>
          <w:i w:val="false"/>
          <w:color w:val="000000"/>
          <w:sz w:val="22"/>
        </w:rPr>
        <w:t xml:space="preserve">Exchange of records. </w:t>
      </w:r>
      <w:r>
        <w:rPr>
          <w:rFonts w:ascii="Times New Roman" w:hAnsi="Times New Roman"/>
          <w:b w:val="false"/>
          <w:i w:val="false"/>
          <w:color w:val="000000"/>
          <w:sz w:val="22"/>
        </w:rPr>
        <w:t>Whether or not a contested case has been commenced, upon the written request of an employee or the representative of an employee who has alleged an injury arising out of and in the course of employment, an employer or insurance carrier shall provide the claimant a copy of all records and reports in its possession generated by a medical provider.</w:t>
      </w:r>
    </w:p>
    <w:p>
      <w:pPr>
        <w:spacing w:before="0" w:after="0"/>
        <w:ind w:left="120"/>
        <w:jc w:val="both"/>
      </w:pPr>
      <w:r>
        <w:rPr>
          <w:rFonts w:ascii="Times New Roman" w:hAnsi="Times New Roman"/>
          <w:b w:val="false"/>
          <w:i w:val="false"/>
          <w:color w:val="000000"/>
          <w:sz w:val="22"/>
        </w:rPr>
        <w:t xml:space="preserve">Whether or not a contested case has been commenced, upon the written request of the employer or insurance carrier against which an employee has alleged an injury arising out of and in the course of employment, the employee shall provide the employer or insurance carrier with a patient’s waiver. See rules </w:t>
      </w:r>
      <w:hyperlink r:id="rId30">
        <w:r>
          <w:rPr>
            <w:rStyle w:val="Hyperlink"/>
            <w:rFonts w:ascii="Times New Roman" w:hAnsi="Times New Roman"/>
            <w:b w:val="false"/>
            <w:i w:val="false"/>
            <w:color w:val="000000"/>
            <w:sz w:val="22"/>
          </w:rPr>
          <w:t>876—3.1</w:t>
        </w:r>
      </w:hyperlink>
      <w:r>
        <w:rPr>
          <w:rFonts w:ascii="Times New Roman" w:hAnsi="Times New Roman"/>
          <w:b w:val="false"/>
          <w:i w:val="false"/>
          <w:color w:val="000000"/>
          <w:sz w:val="22"/>
        </w:rPr>
        <w:t xml:space="preserve">(17A) and </w:t>
      </w:r>
      <w:hyperlink r:id="rId31">
        <w:r>
          <w:rPr>
            <w:rStyle w:val="Hyperlink"/>
            <w:rFonts w:ascii="Times New Roman" w:hAnsi="Times New Roman"/>
            <w:b w:val="false"/>
            <w:i w:val="false"/>
            <w:color w:val="000000"/>
            <w:sz w:val="22"/>
          </w:rPr>
          <w:t>876—4.6</w:t>
        </w:r>
      </w:hyperlink>
      <w:r>
        <w:rPr>
          <w:rFonts w:ascii="Times New Roman" w:hAnsi="Times New Roman"/>
          <w:b w:val="false"/>
          <w:i w:val="false"/>
          <w:color w:val="000000"/>
          <w:sz w:val="22"/>
        </w:rPr>
        <w:t>(85,86,17A) for the waiver form used in contested cases. Claimant shall cooperate with the employer and insurance carrier to provide patients’ waivers in other forms and to update patients’ waivers where requested by a medical practitioner or institution.</w:t>
      </w:r>
    </w:p>
    <w:p>
      <w:pPr>
        <w:spacing w:before="0" w:after="0"/>
        <w:ind w:left="120"/>
        <w:jc w:val="both"/>
      </w:pPr>
      <w:r>
        <w:rPr>
          <w:rFonts w:ascii="Times New Roman" w:hAnsi="Times New Roman"/>
          <w:b w:val="false"/>
          <w:i w:val="false"/>
          <w:color w:val="000000"/>
          <w:sz w:val="22"/>
        </w:rPr>
        <w:t>A medical provider or its agent shall furnish an employer or insurance carrier copies of the initial as well as final clinical assessment without cost when the assessments are requested as supporting documentation to determine liability or for payment of a medical provider’s bill for medical services. When requested, a medical provider or its agent shall furnish a legible duplicate of additional records or reports. Except as otherwise provided in this rule, the amount to be paid for furnishing duplicates of records or reports shall be the actual expense to prepare duplicates not to exceed: $20 for 1 to 20 pages; $20 plus $1 per page for 21 to 30 pages; $30 plus $.50 per page for 31 to 100 pages; $65 plus $.25 per page for 101 to 200 pages; $90 plus $.10 per page for more than 200 pages, and the actual expense of postage. No other expenses shall be allowed.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For 7 pages of records the amount to be paid for furnishing duplicates shall not exceed $20.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For 28 pages of records the amount to be paid for furnishing duplicates shall not exceed $28 ($20 plus (8 times $1)).</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For 41 pages of records the amount to be paid for furnishing duplicates shall not exceed $35.50 ($30 plus (11 times $.50)).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For 127 pages of records the amount to be paid for furnishing duplicates shall not exceed $71.75 ($65 plus (27 times $.25)).</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For 210 pages of records the amount to be paid for furnishing duplicates shall not exceed $91 ($90 plus (10 times $.10)).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85.33 to 85.37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86.10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86.39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876—8.11</w:t>
      </w:r>
      <w:r>
        <w:rPr>
          <w:rFonts w:ascii="Times New Roman" w:hAnsi="Times New Roman"/>
          <w:b/>
          <w:i w:val="false"/>
          <w:color w:val="000000"/>
          <w:sz w:val="22"/>
        </w:rPr>
        <w:t xml:space="preserve">(85B) </w:t>
      </w:r>
      <w:r>
        <w:rPr>
          <w:rFonts w:ascii="Times New Roman" w:hAnsi="Times New Roman"/>
          <w:b/>
          <w:i w:val="false"/>
          <w:color w:val="000000"/>
          <w:sz w:val="22"/>
        </w:rPr>
        <w:t xml:space="preserve">Apportionment of age-related loss for occupational hearing loss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This rule is effective for claims for occupational hearing loss filed on or after July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purposes of this rule are to adopt tables and the method for calculating age-related hearing loss and to adopt a worksheet for apportionment of age-related hearing loss for occupational hearing loss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color w:val="000000"/>
          <w:sz w:val="22"/>
        </w:rPr>
        <w:t xml:space="preserve">Table. </w:t>
      </w:r>
      <w:r>
        <w:rPr>
          <w:rFonts w:ascii="Times New Roman" w:hAnsi="Times New Roman"/>
          <w:b w:val="false"/>
          <w:i w:val="false"/>
          <w:color w:val="000000"/>
          <w:sz w:val="22"/>
        </w:rPr>
        <w:t>In 1972 the National Institute for Occupational Safety and Health (NIOSH) published the Criteria for a Recommended Standard: Occupational Exposure to Noise (NIOSH Publication No.73-11001). Table B-1, page I-16, provides the Age Corrections Values to be Used for Age Correction of Initial Baseline Audiograms for Males and Table B-2, page I-17, provides the Age Corrections Values to be Used for Age Correction of Initial Baseline Audiograms for Females. These NIOSH tables are used to calculate the correction value for age for males and females for 500, 1000, 2000 and 3000 hertz.</w:t>
      </w:r>
    </w:p>
    <w:p>
      <w:pPr>
        <w:spacing w:before="0" w:after="0"/>
        <w:ind w:left="120"/>
        <w:jc w:val="both"/>
      </w:pPr>
      <w:r>
        <w:rPr>
          <w:rFonts w:ascii="Times New Roman" w:hAnsi="Times New Roman"/>
          <w:b w:val="false"/>
          <w:i w:val="false"/>
          <w:color w:val="000000"/>
          <w:sz w:val="22"/>
        </w:rPr>
        <w:t>For example, the age correction for a male 21 years of age is 10 decibels at 500 hertz, 5 decibels at 1000 hertz, 3 decibels at 2000 hertz and 4 decibels at 3000 hertz. The correction for age is 5.50 decibels (the sum of 10+5+3+4 divided by 4).</w:t>
      </w:r>
    </w:p>
    <w:p>
      <w:pPr>
        <w:spacing w:before="0" w:after="0"/>
        <w:ind w:left="120"/>
        <w:jc w:val="both"/>
      </w:pPr>
      <w:r>
        <w:rPr>
          <w:rFonts w:ascii="Times New Roman" w:hAnsi="Times New Roman"/>
          <w:b w:val="false"/>
          <w:i w:val="false"/>
          <w:color w:val="000000"/>
          <w:sz w:val="22"/>
        </w:rPr>
        <w:t>The following table is to be used to determine an employee’s age-related change in hearing level during the period of employment. To determine the age-related change in hearing level in decibels during the period of employment, subtract the value shown in the table for the employee’s age at the beginning of employment from the value shown in the table for the employee’s age on the date of injury.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table should not be used to compute standard threshold shift as required by rules of the Occupational Safety and Health Administration or Iowa occupational safety and health administration.</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Age in Years</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Correction in dB</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Males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Females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 or younger</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14.25</w:t>
            </w:r>
          </w:p>
        </w:tc>
      </w:tr>
      <w:tr>
        <w:trPr>
          <w:trHeight w:val="34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 or older</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w:t>
      </w:r>
      <w:r>
        <w:rPr>
          <w:rFonts w:ascii="Times New Roman" w:hAnsi="Times New Roman"/>
          <w:b w:val="false"/>
          <w:i w:val="false"/>
          <w:color w:val="000000"/>
          <w:sz w:val="22"/>
        </w:rPr>
        <w:t> </w:t>
      </w:r>
      <w:r>
        <w:rPr>
          <w:rFonts w:ascii="Times New Roman" w:hAnsi="Times New Roman"/>
          <w:b w:val="false"/>
          <w:i/>
          <w:color w:val="000000"/>
          <w:sz w:val="22"/>
        </w:rPr>
        <w:t xml:space="preserve">Apportionment. </w:t>
      </w:r>
      <w:r>
        <w:rPr>
          <w:rFonts w:ascii="Times New Roman" w:hAnsi="Times New Roman"/>
          <w:b w:val="false"/>
          <w:i w:val="false"/>
          <w:color w:val="000000"/>
          <w:sz w:val="22"/>
        </w:rPr>
        <w:t xml:space="preserve">The apportionment of age-related hearing loss shall be made by reducing the total binaural percentage hearing loss as calculated pursuant to Iowa Code section </w:t>
      </w:r>
      <w:hyperlink r:id="rId41">
        <w:r>
          <w:rPr>
            <w:rStyle w:val="Hyperlink"/>
            <w:rFonts w:ascii="Times New Roman" w:hAnsi="Times New Roman"/>
            <w:b w:val="false"/>
            <w:i w:val="false"/>
            <w:color w:val="000000"/>
            <w:sz w:val="22"/>
          </w:rPr>
          <w:t>85B.9(3)</w:t>
        </w:r>
      </w:hyperlink>
      <w:r>
        <w:rPr>
          <w:rFonts w:ascii="Times New Roman" w:hAnsi="Times New Roman"/>
          <w:b w:val="false"/>
          <w:i w:val="false"/>
          <w:color w:val="000000"/>
          <w:sz w:val="22"/>
        </w:rPr>
        <w:t xml:space="preserve"> by the same percentage as the decibels of age-related change in hearing level occurring during the period of employment bears to the total decibel hearing level in each ear.</w:t>
      </w:r>
    </w:p>
    <w:p>
      <w:pPr>
        <w:spacing w:before="0" w:after="0"/>
        <w:ind w:left="120"/>
        <w:jc w:val="both"/>
      </w:pPr>
      <w:r>
        <w:rPr>
          <w:rFonts w:ascii="Times New Roman" w:hAnsi="Times New Roman"/>
          <w:b w:val="false"/>
          <w:i w:val="false"/>
          <w:color w:val="000000"/>
          <w:sz w:val="22"/>
        </w:rPr>
        <w:t>Age-related hearing loss is apportioned using the results of the audiogram determined to be the proper audiogram for measurement of the employee’s hearing loss on the date of injury by using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Separately for each ear, compute the average of the employee’s decibel hearing levels at 500, 1000, 2000, and 3000 hertz for that 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Separately for each ear, compute the percentage loss for each 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Compute the employee’s age-related change in hearing level in decibels during the period of employment using the table in subrule </w:t>
      </w:r>
      <w:hyperlink r:id="rId42">
        <w:r>
          <w:rPr>
            <w:rStyle w:val="Hyperlink"/>
            <w:rFonts w:ascii="Times New Roman" w:hAnsi="Times New Roman"/>
            <w:b w:val="false"/>
            <w:i w:val="false"/>
            <w:color w:val="000000"/>
            <w:sz w:val="22"/>
          </w:rPr>
          <w:t>8.10(3)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Separately for each ear, divide the result of step 3 by the result of step 1 to compute the age-correction factor for that 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Separately for each ear, multiply the total percentage hearing loss in that ear calculated pursuant to Iowa Code section </w:t>
      </w:r>
      <w:hyperlink r:id="rId43">
        <w:r>
          <w:rPr>
            <w:rStyle w:val="Hyperlink"/>
            <w:rFonts w:ascii="Times New Roman" w:hAnsi="Times New Roman"/>
            <w:b w:val="false"/>
            <w:i w:val="false"/>
            <w:color w:val="000000"/>
            <w:sz w:val="22"/>
          </w:rPr>
          <w:t>85B.9</w:t>
        </w:r>
      </w:hyperlink>
      <w:r>
        <w:rPr>
          <w:rFonts w:ascii="Times New Roman" w:hAnsi="Times New Roman"/>
          <w:b w:val="false"/>
          <w:i w:val="false"/>
          <w:color w:val="000000"/>
          <w:sz w:val="22"/>
        </w:rPr>
        <w:t xml:space="preserve"> by the age-correction factor for that ear.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Separately for each ear, subtract the result obtained in step 5 from the total percentage hearing loss in that ear to obtain the age-corrected hearing loss for that ear.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Multiply the age-corrected hearing loss in the better ear as calculated in step 6 by 5 and add the percentage hearing loss in the worse ear.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Divide the result obtained in step 7 by 6 to obtain the age-corrected binaural percentage hearing loss.</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w:t>
      </w:r>
      <w:r>
        <w:rPr>
          <w:rFonts w:ascii="Times New Roman" w:hAnsi="Times New Roman"/>
          <w:b w:val="false"/>
          <w:i w:val="false"/>
          <w:color w:val="000000"/>
          <w:sz w:val="22"/>
        </w:rPr>
        <w:t> </w:t>
      </w:r>
      <w:r>
        <w:rPr>
          <w:rFonts w:ascii="Times New Roman" w:hAnsi="Times New Roman"/>
          <w:b w:val="false"/>
          <w:i/>
          <w:color w:val="000000"/>
          <w:sz w:val="22"/>
        </w:rPr>
        <w:t xml:space="preserve">Worksheet. </w:t>
      </w:r>
      <w:r>
        <w:rPr>
          <w:rFonts w:ascii="Times New Roman" w:hAnsi="Times New Roman"/>
          <w:b w:val="false"/>
          <w:i w:val="false"/>
          <w:color w:val="000000"/>
          <w:sz w:val="22"/>
        </w:rPr>
        <w:t>The following worksheet is used to calculate the percentage of age-corrected binaural hearing loss.</w:t>
      </w:r>
    </w:p>
    <w:tbl>
      <w:tblPr>
        <w:tblW w:w="0" w:type="auto"/>
        <w:tblCellSpacing w:w="0" w:type="auto"/>
        <w:tblBorders>
          <w:top w:val="none"/>
          <w:left w:val="none"/>
          <w:bottom w:val="none"/>
          <w:right w:val="none"/>
          <w:insideH w:val="none"/>
          <w:insideV w:val="none"/>
        </w:tblBorders>
        <w:tblLayout w:type="fixed"/>
      </w:tblPr>
      <w:tblGrid>
        <w:gridCol w:w="1031"/>
        <w:gridCol w:w="2720"/>
        <w:gridCol w:w="1439"/>
        <w:gridCol w:w="1841"/>
        <w:gridCol w:w="1439"/>
        <w:gridCol w:w="2719"/>
      </w:tblGrid>
      <w:tr>
        <w:trPr>
          <w:trHeight w:val="225"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APPORTIONMENT OF PERCENT HEARING LOSS FOR AGE</w:t>
            </w:r>
          </w:p>
        </w:tc>
      </w:tr>
      <w:tr>
        <w:trPr>
          <w:trHeight w:val="42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7"/>
              </w:rPr>
              <w:t>Left Ear</w:t>
            </w:r>
          </w:p>
          <w:p>
            <w:pPr>
              <w:spacing w:before="0" w:after="0"/>
              <w:ind w:left="160"/>
              <w:jc w:val="center"/>
            </w:pPr>
            <w:r>
              <w:rPr>
                <w:rFonts w:ascii="Times New Roman" w:hAnsi="Times New Roman"/>
                <w:b w:val="false"/>
                <w:i w:val="false"/>
                <w:color w:val="000000"/>
                <w:sz w:val="17"/>
                <w:u w:val="single"/>
              </w:rPr>
              <w:t>Hearing Level</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 xml:space="preserve">Frequency </w:t>
            </w:r>
            <w:r>
              <w:rPr>
                <w:rFonts w:ascii="Times New Roman" w:hAnsi="Times New Roman"/>
                <w:b w:val="false"/>
                <w:i w:val="false"/>
                <w:color w:val="000000"/>
                <w:sz w:val="17"/>
                <w:u w:val="single"/>
              </w:rPr>
              <w:t>in Hertz</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7"/>
              </w:rPr>
              <w:t>Right Ear</w:t>
            </w:r>
          </w:p>
          <w:p>
            <w:pPr>
              <w:spacing w:before="0" w:after="0"/>
              <w:ind w:left="160"/>
              <w:jc w:val="center"/>
            </w:pPr>
            <w:r>
              <w:rPr>
                <w:rFonts w:ascii="Times New Roman" w:hAnsi="Times New Roman"/>
                <w:b w:val="false"/>
                <w:i w:val="false"/>
                <w:color w:val="000000"/>
                <w:sz w:val="17"/>
                <w:u w:val="single"/>
              </w:rPr>
              <w:t>Hearing Level</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2720"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of lines 1 through 4</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 by 4</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 the “total” by 4)</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 by 4</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 average equals</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minus 25</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subtract “low fence”</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minus 25</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 “Excess”</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multiply by 1.5</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multiply % factor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multiply by 1.5</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 % loss each ear</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loss left ear)</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loss right ear)</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Age on date of injury</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Age at beginning of employment</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correction for age on date of</w:t>
            </w:r>
          </w:p>
          <w:p>
            <w:pPr>
              <w:spacing w:before="0" w:after="0"/>
              <w:ind w:left="160"/>
              <w:jc w:val="left"/>
            </w:pPr>
            <w:r>
              <w:rPr>
                <w:rFonts w:ascii="Times New Roman" w:hAnsi="Times New Roman"/>
                <w:b w:val="false"/>
                <w:i w:val="false"/>
                <w:color w:val="000000"/>
                <w:sz w:val="16"/>
              </w:rPr>
              <w:t>injury in dB from table</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minus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correction for age at beginning of </w:t>
            </w:r>
          </w:p>
          <w:p>
            <w:pPr>
              <w:spacing w:before="0" w:after="0"/>
              <w:ind w:left="160"/>
              <w:jc w:val="left"/>
            </w:pPr>
            <w:r>
              <w:rPr>
                <w:rFonts w:ascii="Times New Roman" w:hAnsi="Times New Roman"/>
                <w:b w:val="false"/>
                <w:i w:val="false"/>
                <w:color w:val="000000"/>
                <w:sz w:val="16"/>
              </w:rPr>
              <w:t>employment in dB from table</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equals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age-related change in hearing</w:t>
            </w:r>
          </w:p>
          <w:p>
            <w:pPr>
              <w:spacing w:before="0" w:after="0"/>
              <w:ind w:left="160"/>
              <w:jc w:val="left"/>
            </w:pPr>
            <w:r>
              <w:rPr>
                <w:rFonts w:ascii="Times New Roman" w:hAnsi="Times New Roman"/>
                <w:b w:val="false"/>
                <w:i w:val="false"/>
                <w:color w:val="000000"/>
                <w:sz w:val="16"/>
              </w:rPr>
              <w:t>level during employment in dB</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LEFT EAR</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RIGHT EAR</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Divide age-related change in hearing level from line 13 by average hearing level from line 6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obtain</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correction factor</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39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multiply % loss from line 8 by</w:t>
            </w:r>
          </w:p>
          <w:p>
            <w:pPr>
              <w:spacing w:before="0" w:after="0"/>
              <w:ind w:left="160"/>
              <w:jc w:val="center"/>
            </w:pPr>
            <w:r>
              <w:rPr>
                <w:rFonts w:ascii="Times New Roman" w:hAnsi="Times New Roman"/>
                <w:b w:val="false"/>
                <w:i w:val="false"/>
                <w:color w:val="000000"/>
                <w:sz w:val="16"/>
              </w:rPr>
              <w:t>age-correction factor from line 14</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obtain</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deduction for </w:t>
            </w:r>
          </w:p>
          <w:p>
            <w:pPr>
              <w:spacing w:before="0" w:after="0"/>
              <w:ind w:left="160"/>
              <w:jc w:val="center"/>
            </w:pPr>
            <w:r>
              <w:rPr>
                <w:rFonts w:ascii="Times New Roman" w:hAnsi="Times New Roman"/>
                <w:b w:val="false"/>
                <w:i w:val="false"/>
                <w:color w:val="000000"/>
                <w:sz w:val="16"/>
              </w:rPr>
              <w:t>age-correction</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subtract line 15 from line 8</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obtain</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age-corrected percent hearing loss</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BINAURAL PERCENTAGE LOSS</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loss better ear (smaller amount)</w:t>
            </w:r>
          </w:p>
          <w:p>
            <w:pPr>
              <w:spacing w:before="0" w:after="0"/>
              <w:ind w:left="160"/>
              <w:jc w:val="left"/>
            </w:pPr>
            <w:r>
              <w:rPr>
                <w:rFonts w:ascii="Times New Roman" w:hAnsi="Times New Roman"/>
                <w:b w:val="false"/>
                <w:i w:val="false"/>
                <w:color w:val="000000"/>
                <w:sz w:val="16"/>
              </w:rPr>
              <w:t>from line 16, multiplied by 5</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plus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loss worse ear (larger amount)</w:t>
            </w:r>
          </w:p>
          <w:p>
            <w:pPr>
              <w:spacing w:before="0" w:after="0"/>
              <w:ind w:left="160"/>
              <w:jc w:val="left"/>
            </w:pPr>
            <w:r>
              <w:rPr>
                <w:rFonts w:ascii="Times New Roman" w:hAnsi="Times New Roman"/>
                <w:b w:val="false"/>
                <w:i w:val="false"/>
                <w:color w:val="000000"/>
                <w:sz w:val="16"/>
              </w:rPr>
              <w:t>from line 16</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divided by 6</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age-corrected binaural hearing loss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85B.9A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876—8.12</w:t>
      </w:r>
      <w:r>
        <w:rPr>
          <w:rFonts w:ascii="Times New Roman" w:hAnsi="Times New Roman"/>
          <w:b/>
          <w:i w:val="false"/>
          <w:color w:val="000000"/>
          <w:sz w:val="22"/>
        </w:rPr>
        <w:t xml:space="preserve">(85) </w:t>
      </w:r>
      <w:r>
        <w:rPr>
          <w:rFonts w:ascii="Times New Roman" w:hAnsi="Times New Roman"/>
          <w:b/>
          <w:i w:val="false"/>
          <w:color w:val="000000"/>
          <w:sz w:val="22"/>
        </w:rPr>
        <w:t xml:space="preserve">Offer of suitable work. </w:t>
      </w:r>
      <w:r>
        <w:rPr>
          <w:rFonts w:ascii="Times New Roman" w:hAnsi="Times New Roman"/>
          <w:b w:val="false"/>
          <w:i w:val="false"/>
          <w:color w:val="000000"/>
          <w:sz w:val="22"/>
        </w:rPr>
        <w:t xml:space="preserve">The employer shall communicate an offer of temporary work to the employee in writing, including the details of lodging, meals, and transportation. With each offer of temporary work, the employer shall notify the employee in writing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employee refuses the offer of temporary work, the employee shall communicate the refusal and the reason for the refusal to the employer in writing;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During the period of refusal, the employee will not be compensated with temporary partial, temporary total, or healing period benefits unless the work refused is not suitable;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communicate the reason for the refusal to the employer in writing precludes the employee from raising suitability of the work as the reason for the refusal until such time as the reason for the refusal is communicated in writing to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85.33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6/25/76—published 7/12/76, effective 7/1/76]</w:t>
      </w:r>
    </w:p>
    <w:p>
      <w:pPr>
        <w:spacing w:before="0" w:after="0"/>
        <w:ind w:left="120"/>
        <w:jc w:val="center"/>
      </w:pPr>
      <w:r>
        <w:rPr>
          <w:rFonts w:ascii="Times New Roman" w:hAnsi="Times New Roman"/>
          <w:b w:val="false"/>
          <w:i w:val="false"/>
          <w:color w:val="000000"/>
          <w:sz w:val="21"/>
        </w:rPr>
        <w:t>[Filed 8/3/77, Notice 6/29/77—published 8/24/77, effective 9/28/77]</w:t>
      </w:r>
    </w:p>
    <w:p>
      <w:pPr>
        <w:spacing w:before="0" w:after="0"/>
        <w:ind w:left="120"/>
        <w:jc w:val="center"/>
      </w:pPr>
      <w:r>
        <w:rPr>
          <w:rFonts w:ascii="Times New Roman" w:hAnsi="Times New Roman"/>
          <w:b w:val="false"/>
          <w:i w:val="false"/>
          <w:color w:val="000000"/>
          <w:sz w:val="21"/>
        </w:rPr>
        <w:t>[Filed 9/26/80, Notice 8/20/80—published 10/15/80, effective 11/19/80]</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6/22/84—published 7/18/84, effective 7/1/84]</w:t>
      </w:r>
    </w:p>
    <w:p>
      <w:pPr>
        <w:spacing w:before="0" w:after="0"/>
        <w:ind w:left="120"/>
        <w:jc w:val="center"/>
      </w:pPr>
      <w:r>
        <w:rPr>
          <w:rFonts w:ascii="Times New Roman" w:hAnsi="Times New Roman"/>
          <w:b w:val="false"/>
          <w:i w:val="false"/>
          <w:color w:val="000000"/>
          <w:sz w:val="21"/>
        </w:rPr>
        <w:t>[Filed emergency 5/31/85—published 6/19/85, effective 7/1/85]</w:t>
      </w:r>
    </w:p>
    <w:p>
      <w:pPr>
        <w:spacing w:before="0" w:after="0"/>
        <w:ind w:left="120"/>
        <w:jc w:val="center"/>
      </w:pPr>
      <w:r>
        <w:rPr>
          <w:rFonts w:ascii="Times New Roman" w:hAnsi="Times New Roman"/>
          <w:b w:val="false"/>
          <w:i w:val="false"/>
          <w:color w:val="000000"/>
          <w:sz w:val="21"/>
        </w:rPr>
        <w:t>[Filed 9/4/85, Notice 7/31/85—published 9/25/85, effective 10/30/85]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[Editorially transferred from [500] to [343] IAC Supp. 9/24/86]</w:t>
      </w:r>
    </w:p>
    <w:p>
      <w:pPr>
        <w:spacing w:before="0" w:after="0"/>
        <w:ind w:left="120"/>
        <w:jc w:val="center"/>
      </w:pPr>
      <w:r>
        <w:rPr>
          <w:rFonts w:ascii="Times New Roman" w:hAnsi="Times New Roman"/>
          <w:b w:val="false"/>
          <w:i w:val="false"/>
          <w:color w:val="000000"/>
          <w:sz w:val="21"/>
        </w:rPr>
        <w:t>[Filed emergency 5/22/87—published 6/17/87, effective 7/1/87]</w:t>
      </w:r>
    </w:p>
    <w:p>
      <w:pPr>
        <w:spacing w:before="0" w:after="0"/>
        <w:ind w:left="120"/>
        <w:jc w:val="center"/>
      </w:pPr>
      <w:r>
        <w:rPr>
          <w:rFonts w:ascii="Times New Roman" w:hAnsi="Times New Roman"/>
          <w:b w:val="false"/>
          <w:i w:val="false"/>
          <w:color w:val="000000"/>
          <w:sz w:val="21"/>
        </w:rPr>
        <w:t>[Filed emergency 5/31/88—published 6/29/88, effective 7/1/88]</w:t>
      </w:r>
    </w:p>
    <w:p>
      <w:pPr>
        <w:spacing w:before="0" w:after="0"/>
        <w:ind w:left="120"/>
        <w:jc w:val="center"/>
      </w:pPr>
      <w:r>
        <w:rPr>
          <w:rFonts w:ascii="Times New Roman" w:hAnsi="Times New Roman"/>
          <w:b w:val="false"/>
          <w:i w:val="false"/>
          <w:color w:val="000000"/>
          <w:sz w:val="21"/>
        </w:rPr>
        <w:t>[Filed emergency 5/12/89—published 5/31/89, effective 7/1/89]</w:t>
      </w:r>
    </w:p>
    <w:p>
      <w:pPr>
        <w:spacing w:before="0" w:after="0"/>
        <w:ind w:left="120"/>
        <w:jc w:val="center"/>
      </w:pPr>
      <w:r>
        <w:rPr>
          <w:rFonts w:ascii="Times New Roman" w:hAnsi="Times New Roman"/>
          <w:b w:val="false"/>
          <w:i w:val="false"/>
          <w:color w:val="000000"/>
          <w:sz w:val="21"/>
        </w:rPr>
        <w:t>[Filed emergency 5/31/90—published 6/27/90, effective 7/1/90]</w:t>
      </w:r>
    </w:p>
    <w:p>
      <w:pPr>
        <w:spacing w:before="0" w:after="0"/>
        <w:ind w:left="120"/>
        <w:jc w:val="center"/>
      </w:pPr>
      <w:r>
        <w:rPr>
          <w:rFonts w:ascii="Times New Roman" w:hAnsi="Times New Roman"/>
          <w:b w:val="false"/>
          <w:i w:val="false"/>
          <w:color w:val="000000"/>
          <w:sz w:val="21"/>
        </w:rPr>
        <w:t>[Filed emergency 7/1/91—published 7/24/91, effective 7/1/91]</w:t>
      </w:r>
    </w:p>
    <w:p>
      <w:pPr>
        <w:spacing w:before="0" w:after="0"/>
        <w:ind w:left="120"/>
        <w:jc w:val="center"/>
      </w:pPr>
      <w:r>
        <w:rPr>
          <w:rFonts w:ascii="Times New Roman" w:hAnsi="Times New Roman"/>
          <w:b w:val="false"/>
          <w:i w:val="false"/>
          <w:color w:val="000000"/>
          <w:sz w:val="21"/>
        </w:rPr>
        <w:t>[Filed emergency 6/5/92—published 6/24/92, effective 7/1/92]</w:t>
      </w:r>
    </w:p>
    <w:p>
      <w:pPr>
        <w:spacing w:before="0" w:after="0"/>
        <w:ind w:left="120"/>
        <w:jc w:val="center"/>
      </w:pPr>
      <w:r>
        <w:rPr>
          <w:rFonts w:ascii="Times New Roman" w:hAnsi="Times New Roman"/>
          <w:b w:val="false"/>
          <w:i w:val="false"/>
          <w:color w:val="000000"/>
          <w:sz w:val="21"/>
        </w:rPr>
        <w:t>[Filed 8/13/92, Notice 6/24/92—published 9/2/92, effective 10/7/92]</w:t>
      </w:r>
    </w:p>
    <w:p>
      <w:pPr>
        <w:spacing w:before="0" w:after="0"/>
        <w:ind w:left="120"/>
        <w:jc w:val="center"/>
      </w:pPr>
      <w:r>
        <w:rPr>
          <w:rFonts w:ascii="Times New Roman" w:hAnsi="Times New Roman"/>
          <w:b w:val="false"/>
          <w:i w:val="false"/>
          <w:color w:val="000000"/>
          <w:sz w:val="21"/>
        </w:rPr>
        <w:t>[Filed 8/13/92, Notice 7/8/92—published 9/2/92, effective 10/7/92]</w:t>
      </w:r>
    </w:p>
    <w:p>
      <w:pPr>
        <w:spacing w:before="0" w:after="0"/>
        <w:ind w:left="120"/>
        <w:jc w:val="center"/>
      </w:pPr>
      <w:r>
        <w:rPr>
          <w:rFonts w:ascii="Times New Roman" w:hAnsi="Times New Roman"/>
          <w:b w:val="false"/>
          <w:i w:val="false"/>
          <w:color w:val="000000"/>
          <w:sz w:val="21"/>
        </w:rPr>
        <w:t>[Filed emergency 5/21/93—published 6/9/93, effective 7/1/93]</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1/13/95, Notice 12/7/94—published 2/1/95, effective 3/8/95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5/10/95—published 6/7/95, effective 5/17/95]</w:t>
      </w:r>
    </w:p>
    <w:p>
      <w:pPr>
        <w:spacing w:before="0" w:after="0"/>
        <w:ind w:left="120"/>
        <w:jc w:val="center"/>
      </w:pPr>
      <w:r>
        <w:rPr>
          <w:rFonts w:ascii="Times New Roman" w:hAnsi="Times New Roman"/>
          <w:b w:val="false"/>
          <w:i w:val="false"/>
          <w:color w:val="000000"/>
          <w:sz w:val="21"/>
        </w:rPr>
        <w:t>[Filed emergency 7/7/95—published 8/2/95, effective 7/7/95]</w:t>
      </w:r>
    </w:p>
    <w:p>
      <w:pPr>
        <w:spacing w:before="0" w:after="0"/>
        <w:ind w:left="120"/>
        <w:jc w:val="center"/>
      </w:pPr>
      <w:r>
        <w:rPr>
          <w:rFonts w:ascii="Times New Roman" w:hAnsi="Times New Roman"/>
          <w:b w:val="false"/>
          <w:i w:val="false"/>
          <w:color w:val="000000"/>
          <w:sz w:val="21"/>
        </w:rPr>
        <w:t>[Filed 4/3/96, Notice 2/14/96—published 4/24/96, effective 7/1/96]</w:t>
      </w:r>
    </w:p>
    <w:p>
      <w:pPr>
        <w:spacing w:before="0" w:after="0"/>
        <w:ind w:left="120"/>
        <w:jc w:val="center"/>
      </w:pPr>
      <w:r>
        <w:rPr>
          <w:rFonts w:ascii="Times New Roman" w:hAnsi="Times New Roman"/>
          <w:b w:val="false"/>
          <w:i w:val="false"/>
          <w:color w:val="000000"/>
          <w:sz w:val="21"/>
        </w:rPr>
        <w:t>[Filed emergency 6/11/96—published 7/3/96, effective 7/1/96]</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6/17/97—published 7/16/97, effective 7/1/97]</w:t>
      </w:r>
    </w:p>
    <w:p>
      <w:pPr>
        <w:spacing w:before="0" w:after="0"/>
        <w:ind w:left="120"/>
        <w:jc w:val="center"/>
      </w:pPr>
      <w:r>
        <w:rPr>
          <w:rFonts w:ascii="Times New Roman" w:hAnsi="Times New Roman"/>
          <w:b w:val="false"/>
          <w:i w:val="false"/>
          <w:color w:val="000000"/>
          <w:sz w:val="21"/>
        </w:rPr>
        <w:t>[Filed 5/1/98, Notice 3/25/98—published 5/20/98, effective 6/24/98]</w:t>
      </w:r>
    </w:p>
    <w:p>
      <w:pPr>
        <w:spacing w:before="0" w:after="0"/>
        <w:ind w:left="120"/>
        <w:jc w:val="center"/>
      </w:pPr>
      <w:r>
        <w:rPr>
          <w:rFonts w:ascii="Times New Roman" w:hAnsi="Times New Roman"/>
          <w:b w:val="false"/>
          <w:i w:val="false"/>
          <w:color w:val="000000"/>
          <w:sz w:val="21"/>
        </w:rPr>
        <w:t>[Filed emergency 6/23/98—published 7/15/98, effective 7/1/98]</w:t>
      </w:r>
    </w:p>
    <w:p>
      <w:pPr>
        <w:spacing w:before="0" w:after="0"/>
        <w:ind w:left="120"/>
        <w:jc w:val="center"/>
      </w:pPr>
      <w:r>
        <w:rPr>
          <w:rFonts w:ascii="Times New Roman" w:hAnsi="Times New Roman"/>
          <w:b w:val="false"/>
          <w:i w:val="false"/>
          <w:color w:val="000000"/>
          <w:sz w:val="21"/>
        </w:rPr>
        <w:t>[Filed emergency 6/30/98—published 7/29/98, effective 7/1/98]</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1/5/99, Notice 7/29/98—published 1/27/99, effective 3/3/99]</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emergency 6/22/00—published 7/12/00, effective 7/1/00]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8/17/00, Notice 7/12/00—published 9/6/00, effective 10/11/00]</w:t>
      </w:r>
    </w:p>
    <w:p>
      <w:pPr>
        <w:spacing w:before="0" w:after="0"/>
        <w:ind w:left="120"/>
        <w:jc w:val="center"/>
      </w:pPr>
      <w:r>
        <w:rPr>
          <w:rFonts w:ascii="Times New Roman" w:hAnsi="Times New Roman"/>
          <w:b w:val="false"/>
          <w:i w:val="false"/>
          <w:color w:val="000000"/>
          <w:sz w:val="21"/>
        </w:rPr>
        <w:t>[Filed emergency 6/20/01—published 7/11/01, effective 7/1/01]</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emergency 4/12/02—published 5/1/02, effective 7/1/02]</w:t>
      </w:r>
    </w:p>
    <w:p>
      <w:pPr>
        <w:spacing w:before="0" w:after="0"/>
        <w:ind w:left="120"/>
        <w:jc w:val="center"/>
      </w:pPr>
      <w:r>
        <w:rPr>
          <w:rFonts w:ascii="Times New Roman" w:hAnsi="Times New Roman"/>
          <w:b w:val="false"/>
          <w:i w:val="false"/>
          <w:color w:val="000000"/>
          <w:sz w:val="21"/>
        </w:rPr>
        <w:t>[Filed emergency 6/30/03—published 7/23/03, effective 7/1/03]</w:t>
      </w:r>
    </w:p>
    <w:p>
      <w:pPr>
        <w:spacing w:before="0" w:after="0"/>
        <w:ind w:left="120"/>
        <w:jc w:val="center"/>
      </w:pPr>
      <w:r>
        <w:rPr>
          <w:rFonts w:ascii="Times New Roman" w:hAnsi="Times New Roman"/>
          <w:b w:val="false"/>
          <w:i w:val="false"/>
          <w:color w:val="000000"/>
          <w:sz w:val="21"/>
        </w:rPr>
        <w:t>[Filed emergency 6/11/04—published 7/7/04, effective 7/1/04]</w:t>
      </w:r>
    </w:p>
    <w:p>
      <w:pPr>
        <w:spacing w:before="0" w:after="0"/>
        <w:ind w:left="120"/>
        <w:jc w:val="center"/>
      </w:pPr>
      <w:r>
        <w:rPr>
          <w:rFonts w:ascii="Times New Roman" w:hAnsi="Times New Roman"/>
          <w:b w:val="false"/>
          <w:i w:val="false"/>
          <w:color w:val="000000"/>
          <w:sz w:val="21"/>
        </w:rPr>
        <w:t>[Filed emergency 6/27/05—published 7/20/05, effective 7/1/05]</w:t>
      </w:r>
    </w:p>
    <w:p>
      <w:pPr>
        <w:spacing w:before="0" w:after="0"/>
        <w:ind w:left="120"/>
        <w:jc w:val="center"/>
      </w:pPr>
      <w:r>
        <w:rPr>
          <w:rFonts w:ascii="Times New Roman" w:hAnsi="Times New Roman"/>
          <w:b w:val="false"/>
          <w:i w:val="false"/>
          <w:color w:val="000000"/>
          <w:sz w:val="21"/>
        </w:rPr>
        <w:t>[Filed emergency 7/27/05—published 8/17/05, effective 8/1/05]</w:t>
      </w:r>
    </w:p>
    <w:p>
      <w:pPr>
        <w:spacing w:before="0" w:after="0"/>
        <w:ind w:left="120"/>
        <w:jc w:val="center"/>
      </w:pPr>
      <w:r>
        <w:rPr>
          <w:rFonts w:ascii="Times New Roman" w:hAnsi="Times New Roman"/>
          <w:b w:val="false"/>
          <w:i w:val="false"/>
          <w:color w:val="000000"/>
          <w:sz w:val="21"/>
        </w:rPr>
        <w:t>[Filed 11/4/05, Notice 9/14/05—published 11/23/05, effective 1/1/06]</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emergency 6/15/07—published 7/18/07, effective 7/1/07]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7947B, IAB 7/15/09, effective 7/1/09]</w:t>
      </w:r>
    </w:p>
    <w:p>
      <w:pPr>
        <w:spacing w:before="0" w:after="0"/>
        <w:ind w:left="120"/>
        <w:jc w:val="center"/>
      </w:pPr>
      <w:r>
        <w:rPr>
          <w:rFonts w:ascii="Times New Roman" w:hAnsi="Times New Roman"/>
          <w:b w:val="false"/>
          <w:i w:val="false"/>
          <w:color w:val="000000"/>
          <w:sz w:val="21"/>
        </w:rPr>
        <w:t>[Filed Emergency ARC 8943B, IAB 7/28/10, effective 7/1/10]</w:t>
      </w:r>
    </w:p>
    <w:p>
      <w:pPr>
        <w:spacing w:before="0" w:after="0"/>
        <w:ind w:left="120"/>
        <w:jc w:val="center"/>
      </w:pPr>
      <w:r>
        <w:rPr>
          <w:rFonts w:ascii="Times New Roman" w:hAnsi="Times New Roman"/>
          <w:b w:val="false"/>
          <w:i w:val="false"/>
          <w:color w:val="000000"/>
          <w:sz w:val="21"/>
        </w:rPr>
        <w:t>[Filed Emergency ARC 9586B, IAB 6/29/11, effective 7/1/11]</w:t>
      </w:r>
    </w:p>
    <w:p>
      <w:pPr>
        <w:spacing w:before="0" w:after="0"/>
        <w:ind w:left="120"/>
        <w:jc w:val="center"/>
      </w:pPr>
      <w:r>
        <w:rPr>
          <w:rFonts w:ascii="Times New Roman" w:hAnsi="Times New Roman"/>
          <w:b w:val="false"/>
          <w:i w:val="false"/>
          <w:color w:val="000000"/>
          <w:sz w:val="21"/>
        </w:rPr>
        <w:t>[Filed Emergency ARC 0222C, IAB 7/25/12, effective 7/1/12]</w:t>
      </w:r>
    </w:p>
    <w:p>
      <w:pPr>
        <w:spacing w:before="0" w:after="0"/>
        <w:ind w:left="120"/>
        <w:jc w:val="center"/>
      </w:pPr>
      <w:r>
        <w:rPr>
          <w:rFonts w:ascii="Times New Roman" w:hAnsi="Times New Roman"/>
          <w:b w:val="false"/>
          <w:i w:val="false"/>
          <w:color w:val="000000"/>
          <w:sz w:val="21"/>
        </w:rPr>
        <w:t>[Filed Emergency ARC 0835C, IAB 7/10/13, effective 6/30/13]</w:t>
      </w:r>
    </w:p>
    <w:p>
      <w:pPr>
        <w:spacing w:before="0" w:after="0"/>
        <w:ind w:left="120"/>
        <w:jc w:val="center"/>
      </w:pPr>
      <w:r>
        <w:rPr>
          <w:rFonts w:ascii="Times New Roman" w:hAnsi="Times New Roman"/>
          <w:b w:val="false"/>
          <w:i w:val="false"/>
          <w:color w:val="000000"/>
          <w:sz w:val="21"/>
        </w:rPr>
        <w:t>[Filed Emergency ARC 1517C, IAB 7/9/14, effective 7/1/14]</w:t>
      </w:r>
    </w:p>
    <w:p>
      <w:pPr>
        <w:spacing w:before="0" w:after="0"/>
        <w:ind w:left="120"/>
        <w:jc w:val="center"/>
      </w:pPr>
      <w:r>
        <w:rPr>
          <w:rFonts w:ascii="Times New Roman" w:hAnsi="Times New Roman"/>
          <w:b w:val="false"/>
          <w:i w:val="false"/>
          <w:color w:val="000000"/>
          <w:sz w:val="21"/>
        </w:rPr>
        <w:t>[Filed Emergency ARC 2611C, IAB 7/6/16, effective 7/1/16]</w:t>
      </w:r>
    </w:p>
    <w:p>
      <w:pPr>
        <w:spacing w:before="0" w:after="0"/>
        <w:ind w:left="120"/>
        <w:jc w:val="center"/>
      </w:pPr>
      <w:r>
        <w:rPr>
          <w:rFonts w:ascii="Times New Roman" w:hAnsi="Times New Roman"/>
          <w:b w:val="false"/>
          <w:i w:val="false"/>
          <w:color w:val="000000"/>
          <w:sz w:val="21"/>
        </w:rPr>
        <w:t>[Filed ARC 3044C</w:t>
      </w:r>
      <w:r>
        <w:rPr>
          <w:rFonts w:ascii="Times New Roman" w:hAnsi="Times New Roman"/>
          <w:b w:val="false"/>
          <w:i w:val="false"/>
          <w:color w:val="000000"/>
          <w:sz w:val="21"/>
        </w:rPr>
        <w:t xml:space="preserve"> (Notice ARC 2940C, IAB 2/15/17)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3884C</w:t>
      </w:r>
      <w:r>
        <w:rPr>
          <w:rFonts w:ascii="Times New Roman" w:hAnsi="Times New Roman"/>
          <w:b w:val="false"/>
          <w:i w:val="false"/>
          <w:color w:val="000000"/>
          <w:sz w:val="21"/>
        </w:rPr>
        <w:t xml:space="preserve"> (Notice ARC 3775C,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4415C</w:t>
      </w:r>
      <w:r>
        <w:rPr>
          <w:rFonts w:ascii="Times New Roman" w:hAnsi="Times New Roman"/>
          <w:b w:val="false"/>
          <w:i w:val="false"/>
          <w:color w:val="000000"/>
          <w:sz w:val="21"/>
        </w:rPr>
        <w:t xml:space="preserve"> (Notice ARC 4312C,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p>
      <w:pPr>
        <w:spacing w:before="0" w:after="0"/>
        <w:ind w:left="120"/>
        <w:jc w:val="center"/>
      </w:pPr>
      <w:r>
        <w:rPr>
          <w:rFonts w:ascii="Times New Roman" w:hAnsi="Times New Roman"/>
          <w:b w:val="false"/>
          <w:i w:val="false"/>
          <w:color w:val="000000"/>
          <w:sz w:val="21"/>
        </w:rPr>
        <w:t>[Filed ARC 5630C</w:t>
      </w:r>
      <w:r>
        <w:rPr>
          <w:rFonts w:ascii="Times New Roman" w:hAnsi="Times New Roman"/>
          <w:b w:val="false"/>
          <w:i w:val="false"/>
          <w:color w:val="000000"/>
          <w:sz w:val="21"/>
        </w:rPr>
        <w:t xml:space="preserve"> (Notice ARC 5521C, IAB 3/24/21)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6318C</w:t>
      </w:r>
      <w:r>
        <w:rPr>
          <w:rFonts w:ascii="Times New Roman" w:hAnsi="Times New Roman"/>
          <w:b w:val="false"/>
          <w:i w:val="false"/>
          <w:color w:val="000000"/>
          <w:sz w:val="21"/>
        </w:rPr>
        <w:t xml:space="preserve"> (Notice ARC 6221C, IAB 3/9/22)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343—8.9(85,86), second unnumbered paragraph, delayed 70 days by the Administrative Rules Review Committee at its meeting held February 13, 1995; delay lifted by this Committee May 9, 1995.</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5.27.pdf" Type="http://schemas.openxmlformats.org/officeDocument/2006/relationships/hyperlink" Id="rId5"/>
    <Relationship TargetMode="External" Target="https://www.legis.iowa.gov/docs/ico/chapter/85.39.pdf" Type="http://schemas.openxmlformats.org/officeDocument/2006/relationships/hyperlink" Id="rId6"/>
    <Relationship TargetMode="External" Target="https://www.legis.iowa.gov/docs/ico/chapter/85.39.pdf" Type="http://schemas.openxmlformats.org/officeDocument/2006/relationships/hyperlink" Id="rId7"/>
    <Relationship TargetMode="External" Target="https://www.legis.iowa.gov/docs/ico/chapter/85.39.pdf" Type="http://schemas.openxmlformats.org/officeDocument/2006/relationships/hyperlink" Id="rId8"/>
    <Relationship TargetMode="External" Target="https://www.legis.iowa.gov/docs/ico/chapter/85.27.pdf" Type="http://schemas.openxmlformats.org/officeDocument/2006/relationships/hyperlink" Id="rId9"/>
    <Relationship TargetMode="External" Target="https://www.legis.iowa.gov/docs/ico/chapter/85.39.pdf" Type="http://schemas.openxmlformats.org/officeDocument/2006/relationships/hyperlink" Id="rId10"/>
    <Relationship TargetMode="External" Target="https://www.legis.iowa.gov/docs/ico/chapter/85.61.pdf" Type="http://schemas.openxmlformats.org/officeDocument/2006/relationships/hyperlink" Id="rId11"/>
    <Relationship TargetMode="External" Target="https://www.legis.iowa.gov/docs/ico/chapter/85.36.pdf" Type="http://schemas.openxmlformats.org/officeDocument/2006/relationships/hyperlink" Id="rId12"/>
    <Relationship TargetMode="External" Target="https://www.legis.iowa.gov/docs/ico/chapter/85.36.pdf" Type="http://schemas.openxmlformats.org/officeDocument/2006/relationships/hyperlink" Id="rId13"/>
    <Relationship TargetMode="External" Target="https://www.legis.iowa.gov/docs/ico/chapter/85.61.pdf" Type="http://schemas.openxmlformats.org/officeDocument/2006/relationships/hyperlink" Id="rId14"/>
    <Relationship TargetMode="External" Target="https://www.legis.iowa.gov/docs/ico/chapter/85.31.pdf" Type="http://schemas.openxmlformats.org/officeDocument/2006/relationships/hyperlink" Id="rId15"/>
    <Relationship TargetMode="External" Target="https://www.legis.iowa.gov/docs/ico/chapter/85.34.pdf" Type="http://schemas.openxmlformats.org/officeDocument/2006/relationships/hyperlink" Id="rId16"/>
    <Relationship TargetMode="External" Target="https://www.legis.iowa.gov/docs/ico/chapter/85.36.pdf" Type="http://schemas.openxmlformats.org/officeDocument/2006/relationships/hyperlink" Id="rId17"/>
    <Relationship TargetMode="External" Target="https://www.legis.iowa.gov/docs/ico/chapter/85.37.pdf" Type="http://schemas.openxmlformats.org/officeDocument/2006/relationships/hyperlink" Id="rId18"/>
    <Relationship TargetMode="External" Target="https://www.legis.iowa.gov/docs/ico/chapter/85.61.pdf" Type="http://schemas.openxmlformats.org/officeDocument/2006/relationships/hyperlink" Id="rId19"/>
    <Relationship TargetMode="External" Target="https://www.legis.iowa.gov/docs/ico/chapter/85.27.pdf" Type="http://schemas.openxmlformats.org/officeDocument/2006/relationships/hyperlink" Id="rId20"/>
    <Relationship TargetMode="External" Target="https://www.legis.iowa.gov/docs/ico/chapter/85.pdf" Type="http://schemas.openxmlformats.org/officeDocument/2006/relationships/hyperlink" Id="rId21"/>
    <Relationship TargetMode="External" Target="https://www.legis.iowa.gov/docs/ico/chapter/85A.pdf" Type="http://schemas.openxmlformats.org/officeDocument/2006/relationships/hyperlink" Id="rId22"/>
    <Relationship TargetMode="External" Target="https://www.legis.iowa.gov/docs/ico/chapter/85.31.pdf" Type="http://schemas.openxmlformats.org/officeDocument/2006/relationships/hyperlink" Id="rId23"/>
    <Relationship TargetMode="External" Target="https://www.legis.iowa.gov/docs/ico/chapter/85.33.pdf" Type="http://schemas.openxmlformats.org/officeDocument/2006/relationships/hyperlink" Id="rId24"/>
    <Relationship TargetMode="External" Target="https://www.legis.iowa.gov/docs/ico/chapter/85.34.pdf" Type="http://schemas.openxmlformats.org/officeDocument/2006/relationships/hyperlink" Id="rId25"/>
    <Relationship TargetMode="External" Target="https://www.legis.iowa.gov/docs/ico/chapter/86.18.pdf" Type="http://schemas.openxmlformats.org/officeDocument/2006/relationships/hyperlink" Id="rId26"/>
    <Relationship TargetMode="External" Target="https://www.legis.iowa.gov/docs/ico/chapter/85.61.pdf" Type="http://schemas.openxmlformats.org/officeDocument/2006/relationships/hyperlink" Id="rId27"/>
    <Relationship TargetMode="External" Target="https://dial.iowa.gov/hearings/workers-comp/rates" Type="http://schemas.openxmlformats.org/officeDocument/2006/relationships/hyperlink" Id="rId28"/>
    <Relationship TargetMode="External" Target="https://www.legis.iowa.gov/docs/ico/chapter/85.pdf" Type="http://schemas.openxmlformats.org/officeDocument/2006/relationships/hyperlink" Id="rId29"/>
    <Relationship TargetMode="External" Target="https://www.legis.iowa.gov/docs/iac/rule/876.3.1.pdf" Type="http://schemas.openxmlformats.org/officeDocument/2006/relationships/hyperlink" Id="rId30"/>
    <Relationship TargetMode="External" Target="https://www.legis.iowa.gov/docs/iac/rule/876.4.6.pdf" Type="http://schemas.openxmlformats.org/officeDocument/2006/relationships/hyperlink" Id="rId31"/>
    <Relationship TargetMode="External" Target="https://www.legis.iowa.gov/docs/ico/chapter/85.27.pdf" Type="http://schemas.openxmlformats.org/officeDocument/2006/relationships/hyperlink" Id="rId32"/>
    <Relationship TargetMode="External" Target="https://www.legis.iowa.gov/docs/ico/chapter/85.31.pdf" Type="http://schemas.openxmlformats.org/officeDocument/2006/relationships/hyperlink" Id="rId33"/>
    <Relationship TargetMode="External" Target="https://www.legis.iowa.gov/docs/ico/chapter/85.33-37.pdf" Type="http://schemas.openxmlformats.org/officeDocument/2006/relationships/hyperlink" Id="rId34"/>
    <Relationship TargetMode="External" Target="https://www.legis.iowa.gov/docs/ico/chapter/85.39.pdf" Type="http://schemas.openxmlformats.org/officeDocument/2006/relationships/hyperlink" Id="rId35"/>
    <Relationship TargetMode="External" Target="https://www.legis.iowa.gov/docs/ico/chapter/85.61.pdf" Type="http://schemas.openxmlformats.org/officeDocument/2006/relationships/hyperlink" Id="rId36"/>
    <Relationship TargetMode="External" Target="https://www.legis.iowa.gov/docs/ico/chapter/86.8.pdf" Type="http://schemas.openxmlformats.org/officeDocument/2006/relationships/hyperlink" Id="rId37"/>
    <Relationship TargetMode="External" Target="https://www.legis.iowa.gov/docs/ico/chapter/86.10.pdf" Type="http://schemas.openxmlformats.org/officeDocument/2006/relationships/hyperlink" Id="rId38"/>
    <Relationship TargetMode="External" Target="https://www.legis.iowa.gov/docs/ico/chapter/86.18.pdf" Type="http://schemas.openxmlformats.org/officeDocument/2006/relationships/hyperlink" Id="rId39"/>
    <Relationship TargetMode="External" Target="https://www.legis.iowa.gov/docs/ico/chapter/86.39.pdf" Type="http://schemas.openxmlformats.org/officeDocument/2006/relationships/hyperlink" Id="rId40"/>
    <Relationship TargetMode="External" Target="https://www.legis.iowa.gov/docs/ico/chapter/85B.9.pdf" Type="http://schemas.openxmlformats.org/officeDocument/2006/relationships/hyperlink" Id="rId41"/>
    <Relationship TargetMode="External" Target="https://www.legis.iowa.gov/docs/iac/rule/876.8.10.pdf" Type="http://schemas.openxmlformats.org/officeDocument/2006/relationships/hyperlink" Id="rId42"/>
    <Relationship TargetMode="External" Target="https://www.legis.iowa.gov/docs/ico/chapter/85B.9.pdf" Type="http://schemas.openxmlformats.org/officeDocument/2006/relationships/hyperlink" Id="rId43"/>
    <Relationship TargetMode="External" Target="https://www.legis.iowa.gov/docs/ico/chapter/85B.9A.pdf" Type="http://schemas.openxmlformats.org/officeDocument/2006/relationships/hyperlink" Id="rId44"/>
    <Relationship TargetMode="External" Target="https://www.legis.iowa.gov/docs/ico/chapter/86.8.pdf" Type="http://schemas.openxmlformats.org/officeDocument/2006/relationships/hyperlink" Id="rId45"/>
    <Relationship TargetMode="External" Target="https://www.legis.iowa.gov/docs/ico/chapter/85.33.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