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SETTLEMENTS AND COMMUTATIONS</w:t>
      </w:r>
    </w:p>
    <w:p>
      <w:pPr>
        <w:spacing w:before="0" w:after="0"/>
        <w:ind w:left="120"/>
        <w:jc w:val="center"/>
      </w:pPr>
      <w:r>
        <w:rPr>
          <w:rFonts w:ascii="Times New Roman" w:hAnsi="Times New Roman"/>
          <w:b w:val="false"/>
          <w:i w:val="false"/>
          <w:color w:val="000000"/>
          <w:sz w:val="14"/>
        </w:rPr>
        <w:t>[Prior to 9/24/86 see Industrial Commissioner[500]]</w:t>
      </w:r>
    </w:p>
    <w:p>
      <w:pPr>
        <w:spacing w:before="0" w:after="0"/>
        <w:ind w:left="120"/>
        <w:jc w:val="center"/>
      </w:pPr>
      <w:r>
        <w:rPr>
          <w:rFonts w:ascii="Times New Roman" w:hAnsi="Times New Roman"/>
          <w:b w:val="false"/>
          <w:i w:val="false"/>
          <w:color w:val="000000"/>
          <w:sz w:val="14"/>
        </w:rPr>
        <w:t>[Prior to 1/29/97 see Industrial Services Division[343]]</w:t>
      </w:r>
    </w:p>
    <w:p>
      <w:pPr>
        <w:spacing w:before="0" w:after="0"/>
        <w:ind w:left="120"/>
        <w:jc w:val="center"/>
      </w:pPr>
      <w:r>
        <w:rPr>
          <w:rFonts w:ascii="Times New Roman" w:hAnsi="Times New Roman"/>
          <w:b w:val="false"/>
          <w:i w:val="false"/>
          <w:color w:val="000000"/>
          <w:sz w:val="14"/>
        </w:rPr>
        <w:t>[Prior to 7/29/98 see Industrial Services Division[873]Ch 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876—6.1</w:t>
      </w:r>
      <w:r>
        <w:rPr>
          <w:rFonts w:ascii="Times New Roman" w:hAnsi="Times New Roman"/>
          <w:b/>
          <w:i w:val="false"/>
          <w:color w:val="000000"/>
          <w:sz w:val="22"/>
        </w:rPr>
        <w:t xml:space="preserve">(85,86) </w:t>
      </w:r>
      <w:r>
        <w:rPr>
          <w:rFonts w:ascii="Times New Roman" w:hAnsi="Times New Roman"/>
          <w:b/>
          <w:i w:val="false"/>
          <w:color w:val="000000"/>
          <w:sz w:val="22"/>
        </w:rPr>
        <w:t xml:space="preserve">Settlements under Iowa Code section </w:t>
      </w:r>
      <w:hyperlink r:id="rId5">
        <w:r>
          <w:rPr>
            <w:rStyle w:val="Hyperlink"/>
            <w:rFonts w:ascii="Times New Roman" w:hAnsi="Times New Roman"/>
            <w:b/>
            <w:i w:val="false"/>
            <w:color w:val="000000"/>
            <w:sz w:val="22"/>
          </w:rPr>
          <w:t>85.35</w:t>
        </w:r>
      </w:hyperlink>
      <w:r>
        <w:rPr>
          <w:rFonts w:ascii="Times New Roman" w:hAnsi="Times New Roman"/>
          <w:b/>
          <w:i w:val="false"/>
          <w:color w:val="000000"/>
          <w:sz w:val="22"/>
        </w:rPr>
        <w:t xml:space="preserve">. </w:t>
      </w:r>
      <w:r>
        <w:rPr>
          <w:rFonts w:ascii="Times New Roman" w:hAnsi="Times New Roman"/>
          <w:b w:val="false"/>
          <w:i w:val="false"/>
          <w:color w:val="000000"/>
          <w:sz w:val="22"/>
        </w:rPr>
        <w:t xml:space="preserve">All proposed settlements shall be submitted to the workers’ compensation commissioner for approval. An agreement for settlement pursuant to Iowa Code section </w:t>
      </w:r>
      <w:hyperlink r:id="rId6">
        <w:r>
          <w:rPr>
            <w:rStyle w:val="Hyperlink"/>
            <w:rFonts w:ascii="Times New Roman" w:hAnsi="Times New Roman"/>
            <w:b w:val="false"/>
            <w:i w:val="false"/>
            <w:color w:val="000000"/>
            <w:sz w:val="22"/>
          </w:rPr>
          <w:t>85.35(2)</w:t>
        </w:r>
      </w:hyperlink>
      <w:r>
        <w:rPr>
          <w:rFonts w:ascii="Times New Roman" w:hAnsi="Times New Roman"/>
          <w:b w:val="false"/>
          <w:i w:val="false"/>
          <w:color w:val="000000"/>
          <w:sz w:val="22"/>
        </w:rPr>
        <w:t xml:space="preserve"> shall be on Form 14-0021. A compromise settlement pursuant to Iowa Code section </w:t>
      </w:r>
      <w:hyperlink r:id="rId7">
        <w:r>
          <w:rPr>
            <w:rStyle w:val="Hyperlink"/>
            <w:rFonts w:ascii="Times New Roman" w:hAnsi="Times New Roman"/>
            <w:b w:val="false"/>
            <w:i w:val="false"/>
            <w:color w:val="000000"/>
            <w:sz w:val="22"/>
          </w:rPr>
          <w:t>85.35(3)</w:t>
        </w:r>
      </w:hyperlink>
      <w:r>
        <w:rPr>
          <w:rFonts w:ascii="Times New Roman" w:hAnsi="Times New Roman"/>
          <w:b w:val="false"/>
          <w:i w:val="false"/>
          <w:color w:val="000000"/>
          <w:sz w:val="22"/>
        </w:rPr>
        <w:t xml:space="preserve"> shall be on Form 14-0025. A combination settlement pursuant to Iowa Code section </w:t>
      </w:r>
      <w:hyperlink r:id="rId8">
        <w:r>
          <w:rPr>
            <w:rStyle w:val="Hyperlink"/>
            <w:rFonts w:ascii="Times New Roman" w:hAnsi="Times New Roman"/>
            <w:b w:val="false"/>
            <w:i w:val="false"/>
            <w:color w:val="000000"/>
            <w:sz w:val="22"/>
          </w:rPr>
          <w:t>85.35(4)</w:t>
        </w:r>
      </w:hyperlink>
      <w:r>
        <w:rPr>
          <w:rFonts w:ascii="Times New Roman" w:hAnsi="Times New Roman"/>
          <w:b w:val="false"/>
          <w:i w:val="false"/>
          <w:color w:val="000000"/>
          <w:sz w:val="22"/>
        </w:rPr>
        <w:t xml:space="preserve"> shall be on Form 14-0159. A contingent settlement pursuant to Iowa Code section </w:t>
      </w:r>
      <w:hyperlink r:id="rId9">
        <w:r>
          <w:rPr>
            <w:rStyle w:val="Hyperlink"/>
            <w:rFonts w:ascii="Times New Roman" w:hAnsi="Times New Roman"/>
            <w:b w:val="false"/>
            <w:i w:val="false"/>
            <w:color w:val="000000"/>
            <w:sz w:val="22"/>
          </w:rPr>
          <w:t>85.35(5)</w:t>
        </w:r>
      </w:hyperlink>
      <w:r>
        <w:rPr>
          <w:rFonts w:ascii="Times New Roman" w:hAnsi="Times New Roman"/>
          <w:b w:val="false"/>
          <w:i w:val="false"/>
          <w:color w:val="000000"/>
          <w:sz w:val="22"/>
        </w:rPr>
        <w:t xml:space="preserve"> shall be on Form 14-0161.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that a settlement should be approved as required by Iowa Code section </w:t>
      </w:r>
      <w:hyperlink r:id="rId10">
        <w:r>
          <w:rPr>
            <w:rStyle w:val="Hyperlink"/>
            <w:rFonts w:ascii="Times New Roman" w:hAnsi="Times New Roman"/>
            <w:b w:val="false"/>
            <w:i w:val="false"/>
            <w:color w:val="000000"/>
            <w:sz w:val="22"/>
          </w:rPr>
          <w:t>85.35(7)</w:t>
        </w:r>
      </w:hyperlink>
      <w:r>
        <w:rPr>
          <w:rFonts w:ascii="Times New Roman" w:hAnsi="Times New Roman"/>
          <w:b w:val="false"/>
          <w:i w:val="false"/>
          <w:color w:val="000000"/>
          <w:sz w:val="22"/>
        </w:rPr>
        <w:t xml:space="preserve"> shall accompany the settlement or be incorporated into the settlement forms. It is presumed that the showing required by Iowa Code section </w:t>
      </w:r>
      <w:hyperlink r:id="rId11">
        <w:r>
          <w:rPr>
            <w:rStyle w:val="Hyperlink"/>
            <w:rFonts w:ascii="Times New Roman" w:hAnsi="Times New Roman"/>
            <w:b w:val="false"/>
            <w:i w:val="false"/>
            <w:color w:val="000000"/>
            <w:sz w:val="22"/>
          </w:rPr>
          <w:t>85.35(7)</w:t>
        </w:r>
      </w:hyperlink>
      <w:r>
        <w:rPr>
          <w:rFonts w:ascii="Times New Roman" w:hAnsi="Times New Roman"/>
          <w:b w:val="false"/>
          <w:i w:val="false"/>
          <w:color w:val="000000"/>
          <w:sz w:val="22"/>
        </w:rPr>
        <w:t xml:space="preserve"> has been made if the claimant is represented by an attorney licensed to practice law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w:t>
      </w:r>
      <w:r>
        <w:rPr>
          <w:rFonts w:ascii="Times New Roman" w:hAnsi="Times New Roman"/>
          <w:b w:val="false"/>
          <w:i w:val="false"/>
          <w:color w:val="000000"/>
          <w:sz w:val="22"/>
        </w:rPr>
        <w:t> </w:t>
      </w:r>
      <w:r>
        <w:rPr>
          <w:rFonts w:ascii="Times New Roman" w:hAnsi="Times New Roman"/>
          <w:b w:val="false"/>
          <w:i w:val="false"/>
          <w:color w:val="000000"/>
          <w:sz w:val="22"/>
        </w:rPr>
        <w:t>The documents for a compromise settlement shall identify either the specific date or dates of injury or the specific injurious condition or conditions, or both. The documents for a compromise settlement, including any addendum to the documents, shall not contain any language that either expressly states or implies that the proposed compromise settlement is a final settlement of any and all injuries, known or unknown, that an employee may have sustained while employed by the employer. If a compromise settlement is submitted that does not comply with this subrule, the workers’ compensation commissioner shall return the proposed compromise settlement to the party that submitted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w:t>
      </w:r>
      <w:r>
        <w:rPr>
          <w:rFonts w:ascii="Times New Roman" w:hAnsi="Times New Roman"/>
          <w:b w:val="false"/>
          <w:i w:val="false"/>
          <w:color w:val="000000"/>
          <w:sz w:val="22"/>
        </w:rPr>
        <w:t> </w:t>
      </w:r>
      <w:r>
        <w:rPr>
          <w:rFonts w:ascii="Times New Roman" w:hAnsi="Times New Roman"/>
          <w:b w:val="false"/>
          <w:i w:val="false"/>
          <w:color w:val="000000"/>
          <w:sz w:val="22"/>
        </w:rPr>
        <w:t xml:space="preserve">Approval of a compromise settlement pursuant to Iowa Code section </w:t>
      </w:r>
      <w:hyperlink r:id="rId12">
        <w:r>
          <w:rPr>
            <w:rStyle w:val="Hyperlink"/>
            <w:rFonts w:ascii="Times New Roman" w:hAnsi="Times New Roman"/>
            <w:b w:val="false"/>
            <w:i w:val="false"/>
            <w:color w:val="000000"/>
            <w:sz w:val="22"/>
          </w:rPr>
          <w:t>85.35(3)</w:t>
        </w:r>
      </w:hyperlink>
      <w:r>
        <w:rPr>
          <w:rFonts w:ascii="Times New Roman" w:hAnsi="Times New Roman"/>
          <w:b w:val="false"/>
          <w:i w:val="false"/>
          <w:color w:val="000000"/>
          <w:sz w:val="22"/>
        </w:rPr>
        <w:t xml:space="preserve"> is a final bar to rights under the Iowa workers’ compensation law, and the approved compromise settlement is not subject to review under Iowa Code section </w:t>
      </w:r>
      <w:hyperlink r:id="rId13">
        <w:r>
          <w:rPr>
            <w:rStyle w:val="Hyperlink"/>
            <w:rFonts w:ascii="Times New Roman" w:hAnsi="Times New Roman"/>
            <w:b w:val="false"/>
            <w:i w:val="false"/>
            <w:color w:val="000000"/>
            <w:sz w:val="22"/>
          </w:rPr>
          <w:t>85.26(2)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in this rule shall prohibit the approval of settlements in other appropriate cases when allowed by Iowa Code section </w:t>
      </w:r>
      <w:hyperlink r:id="rId14">
        <w:r>
          <w:rPr>
            <w:rStyle w:val="Hyperlink"/>
            <w:rFonts w:ascii="Times New Roman" w:hAnsi="Times New Roman"/>
            <w:b w:val="false"/>
            <w:i w:val="false"/>
            <w:color w:val="000000"/>
            <w:sz w:val="22"/>
          </w:rPr>
          <w:t>85.35(7)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85.35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3528C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876—6.2</w:t>
      </w:r>
      <w:r>
        <w:rPr>
          <w:rFonts w:ascii="Times New Roman" w:hAnsi="Times New Roman"/>
          <w:b/>
          <w:i w:val="false"/>
          <w:color w:val="000000"/>
          <w:sz w:val="22"/>
        </w:rPr>
        <w:t xml:space="preserve">(85,86) </w:t>
      </w:r>
      <w:r>
        <w:rPr>
          <w:rFonts w:ascii="Times New Roman" w:hAnsi="Times New Roman"/>
          <w:b/>
          <w:i w:val="false"/>
          <w:color w:val="000000"/>
          <w:sz w:val="22"/>
        </w:rPr>
        <w:t xml:space="preserve">Commutation. </w:t>
      </w:r>
      <w:r>
        <w:rPr>
          <w:rFonts w:ascii="Times New Roman" w:hAnsi="Times New Roman"/>
          <w:b w:val="false"/>
          <w:i w:val="false"/>
          <w:color w:val="000000"/>
          <w:sz w:val="22"/>
        </w:rPr>
        <w:t>The following requirements must be met before a commutation will be considered or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w:t>
      </w:r>
      <w:r>
        <w:rPr>
          <w:rFonts w:ascii="Times New Roman" w:hAnsi="Times New Roman"/>
          <w:b w:val="false"/>
          <w:i w:val="false"/>
          <w:color w:val="000000"/>
          <w:sz w:val="22"/>
        </w:rPr>
        <w:t> </w:t>
      </w:r>
      <w:r>
        <w:rPr>
          <w:rFonts w:ascii="Times New Roman" w:hAnsi="Times New Roman"/>
          <w:b w:val="false"/>
          <w:i w:val="false"/>
          <w:color w:val="000000"/>
          <w:sz w:val="22"/>
        </w:rPr>
        <w:t>A first report of injury, an acknowledgment of compensability and an updated supplemental claim activity report must be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commutation forms provided for in </w:t>
      </w:r>
      <w:hyperlink r:id="rId16">
        <w:r>
          <w:rPr>
            <w:rStyle w:val="Hyperlink"/>
            <w:rFonts w:ascii="Times New Roman" w:hAnsi="Times New Roman"/>
            <w:b w:val="false"/>
            <w:i w:val="false"/>
            <w:color w:val="000000"/>
            <w:sz w:val="22"/>
          </w:rPr>
          <w:t>876—6.4</w:t>
        </w:r>
      </w:hyperlink>
      <w:r>
        <w:rPr>
          <w:rFonts w:ascii="Times New Roman" w:hAnsi="Times New Roman"/>
          <w:b w:val="false"/>
          <w:i w:val="false"/>
          <w:color w:val="000000"/>
          <w:sz w:val="22"/>
        </w:rPr>
        <w:t>(85,86) must be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w:t>
      </w:r>
      <w:r>
        <w:rPr>
          <w:rFonts w:ascii="Times New Roman" w:hAnsi="Times New Roman"/>
          <w:b w:val="false"/>
          <w:i w:val="false"/>
          <w:color w:val="000000"/>
          <w:sz w:val="22"/>
        </w:rPr>
        <w:t> </w:t>
      </w:r>
      <w:r>
        <w:rPr>
          <w:rFonts w:ascii="Times New Roman" w:hAnsi="Times New Roman"/>
          <w:b w:val="false"/>
          <w:i w:val="false"/>
          <w:color w:val="000000"/>
          <w:sz w:val="22"/>
        </w:rPr>
        <w:t>All doctors’ and practitioners’ reports relevant to the disability of the claimant involved in the commutation must be attached to the commutation forms.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w:t>
      </w:r>
      <w:r>
        <w:rPr>
          <w:rFonts w:ascii="Times New Roman" w:hAnsi="Times New Roman"/>
          <w:b w:val="false"/>
          <w:i w:val="false"/>
          <w:color w:val="000000"/>
          <w:sz w:val="22"/>
        </w:rPr>
        <w:t> </w:t>
      </w:r>
      <w:r>
        <w:rPr>
          <w:rFonts w:ascii="Times New Roman" w:hAnsi="Times New Roman"/>
          <w:b w:val="false"/>
          <w:i w:val="false"/>
          <w:color w:val="000000"/>
          <w:sz w:val="22"/>
        </w:rPr>
        <w:t>Claimant’s condition as a result of the injury as shown by the medical reports cannot be one which will be expected to deteriorate. When a partial commutation is sought, this subrule shall diminish in importance.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w:t>
      </w:r>
      <w:r>
        <w:rPr>
          <w:rFonts w:ascii="Times New Roman" w:hAnsi="Times New Roman"/>
          <w:b w:val="false"/>
          <w:i w:val="false"/>
          <w:color w:val="000000"/>
          <w:sz w:val="22"/>
        </w:rPr>
        <w:t> </w:t>
      </w:r>
      <w:r>
        <w:rPr>
          <w:rFonts w:ascii="Times New Roman" w:hAnsi="Times New Roman"/>
          <w:b w:val="false"/>
          <w:i w:val="false"/>
          <w:color w:val="000000"/>
          <w:sz w:val="22"/>
        </w:rPr>
        <w:t>Claimant’s condition as a result of the injury shown by the doctors’ and practitioners’ reports cannot be one which will be expected to require future treatment unless the future treatment is adequately provided for. When a partial commutation is sought, this subrule shall diminish in importance.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6.2(6)</w:t>
      </w:r>
      <w:r>
        <w:rPr>
          <w:rFonts w:ascii="Times New Roman" w:hAnsi="Times New Roman"/>
          <w:b w:val="false"/>
          <w:i w:val="false"/>
          <w:color w:val="000000"/>
          <w:sz w:val="22"/>
        </w:rPr>
        <w:t> </w:t>
      </w:r>
      <w:r>
        <w:rPr>
          <w:rFonts w:ascii="Times New Roman" w:hAnsi="Times New Roman"/>
          <w:b w:val="false"/>
          <w:i w:val="false"/>
          <w:color w:val="000000"/>
          <w:sz w:val="22"/>
        </w:rPr>
        <w:t>A detailed statement of claimant’s need or other reason for a lump sum of money must be attached to the application. The analysis shall include disclosure of any attorney fee and case expense amount to be paid from the full commutation. If all parties are represented by an attorney, the parties may waive the statement of need, unless the case involves a dependent who is a minor.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6.2(7)</w:t>
      </w:r>
      <w:r>
        <w:rPr>
          <w:rFonts w:ascii="Times New Roman" w:hAnsi="Times New Roman"/>
          <w:b w:val="false"/>
          <w:i w:val="false"/>
          <w:color w:val="000000"/>
          <w:sz w:val="22"/>
        </w:rPr>
        <w:t> </w:t>
      </w:r>
      <w:r>
        <w:rPr>
          <w:rFonts w:ascii="Times New Roman" w:hAnsi="Times New Roman"/>
          <w:b w:val="false"/>
          <w:i w:val="false"/>
          <w:color w:val="000000"/>
          <w:sz w:val="22"/>
        </w:rPr>
        <w:t>When multiple dependents are involved, a signed stipulation or order of apportionment identifying the proportion of benefits to be received by each dependent shall be attached to the commutation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6.2(8)</w:t>
      </w:r>
      <w:r>
        <w:rPr>
          <w:rFonts w:ascii="Times New Roman" w:hAnsi="Times New Roman"/>
          <w:b w:val="false"/>
          <w:i w:val="false"/>
          <w:color w:val="000000"/>
          <w:sz w:val="22"/>
        </w:rPr>
        <w:t> </w:t>
      </w:r>
      <w:r>
        <w:rPr>
          <w:rFonts w:ascii="Times New Roman" w:hAnsi="Times New Roman"/>
          <w:b w:val="false"/>
          <w:i w:val="false"/>
          <w:color w:val="000000"/>
          <w:sz w:val="22"/>
        </w:rPr>
        <w:t>A signed stipulation as to the degree of permanent disability shall be attached to the commutation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6.2(9)</w:t>
      </w:r>
      <w:r>
        <w:rPr>
          <w:rFonts w:ascii="Times New Roman" w:hAnsi="Times New Roman"/>
          <w:b w:val="false"/>
          <w:i w:val="false"/>
          <w:color w:val="000000"/>
          <w:sz w:val="22"/>
        </w:rPr>
        <w:t> </w:t>
      </w:r>
      <w:r>
        <w:rPr>
          <w:rFonts w:ascii="Times New Roman" w:hAnsi="Times New Roman"/>
          <w:b w:val="false"/>
          <w:i w:val="false"/>
          <w:color w:val="000000"/>
          <w:sz w:val="22"/>
        </w:rPr>
        <w:t>If all parties are represented by an attorney, a commutation of benefits is presumed to be in the best interests of the claimant.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6.2(10)</w:t>
      </w:r>
      <w:r>
        <w:rPr>
          <w:rFonts w:ascii="Times New Roman" w:hAnsi="Times New Roman"/>
          <w:b w:val="false"/>
          <w:i w:val="false"/>
          <w:color w:val="000000"/>
          <w:sz w:val="22"/>
        </w:rPr>
        <w:t> </w:t>
      </w:r>
      <w:r>
        <w:rPr>
          <w:rFonts w:ascii="Times New Roman" w:hAnsi="Times New Roman"/>
          <w:b w:val="false"/>
          <w:i w:val="false"/>
          <w:color w:val="000000"/>
          <w:sz w:val="22"/>
        </w:rPr>
        <w:t>If all parties are represented by an attorney, the parties may stipulate to the definitely determined period of compensation.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
        <w:r>
          <w:rPr>
            <w:rStyle w:val="Hyperlink"/>
            <w:rFonts w:ascii="Times New Roman" w:hAnsi="Times New Roman"/>
            <w:b w:val="false"/>
            <w:i w:val="false"/>
            <w:color w:val="000000"/>
            <w:sz w:val="22"/>
          </w:rPr>
          <w:t>85.45</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85.47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3528C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 xml:space="preserve">; </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876—6.3</w:t>
      </w:r>
      <w:r>
        <w:rPr>
          <w:rFonts w:ascii="Times New Roman" w:hAnsi="Times New Roman"/>
          <w:b/>
          <w:i w:val="false"/>
          <w:color w:val="000000"/>
          <w:sz w:val="22"/>
        </w:rPr>
        <w:t xml:space="preserve">(85,86) </w:t>
      </w:r>
      <w:r>
        <w:rPr>
          <w:rFonts w:ascii="Times New Roman" w:hAnsi="Times New Roman"/>
          <w:b/>
          <w:i w:val="false"/>
          <w:color w:val="000000"/>
          <w:sz w:val="22"/>
        </w:rPr>
        <w:t xml:space="preserve">Commutation tables. </w:t>
      </w:r>
      <w:r>
        <w:rPr>
          <w:rFonts w:ascii="Times New Roman" w:hAnsi="Times New Roman"/>
          <w:b w:val="false"/>
          <w:i w:val="false"/>
          <w:color w:val="000000"/>
          <w:sz w:val="22"/>
        </w:rPr>
        <w:t xml:space="preserve">The following tables are to be used in determining the sum to be paid in appropriate commutation proceedings. Nothing in this rule is to prevent waiver of the discount in subrule </w:t>
      </w:r>
      <w:hyperlink r:id="rId19">
        <w:r>
          <w:rPr>
            <w:rStyle w:val="Hyperlink"/>
            <w:rFonts w:ascii="Times New Roman" w:hAnsi="Times New Roman"/>
            <w:b w:val="false"/>
            <w:i w:val="false"/>
            <w:color w:val="000000"/>
            <w:sz w:val="22"/>
          </w:rPr>
          <w:t>6.3(2)</w:t>
        </w:r>
      </w:hyperlink>
      <w:r>
        <w:rPr>
          <w:rFonts w:ascii="Times New Roman" w:hAnsi="Times New Roman"/>
          <w:b w:val="false"/>
          <w:i w:val="false"/>
          <w:color w:val="000000"/>
          <w:sz w:val="22"/>
        </w:rPr>
        <w:t xml:space="preserve"> by the employer or insurance carrier.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w:t>
      </w:r>
      <w:r>
        <w:rPr>
          <w:rFonts w:ascii="Times New Roman" w:hAnsi="Times New Roman"/>
          <w:b w:val="false"/>
          <w:i w:val="false"/>
          <w:color w:val="000000"/>
          <w:sz w:val="22"/>
        </w:rPr>
        <w:t> </w:t>
      </w:r>
      <w:r>
        <w:rPr>
          <w:rFonts w:ascii="Times New Roman" w:hAnsi="Times New Roman"/>
          <w:b w:val="false"/>
          <w:i/>
          <w:color w:val="000000"/>
          <w:sz w:val="22"/>
        </w:rPr>
        <w:t xml:space="preserve">Life expectancy table. </w:t>
      </w:r>
      <w:r>
        <w:rPr>
          <w:rFonts w:ascii="Times New Roman" w:hAnsi="Times New Roman"/>
          <w:b w:val="false"/>
          <w:i w:val="false"/>
          <w:color w:val="000000"/>
          <w:sz w:val="22"/>
        </w:rPr>
        <w:t>The life expectancy is determined by taking the age of the person, set forth in the “age” column and comparing it to the “weeks” column, which indicates the weeks an individual at the age indicated will be expected to continue to live.</w:t>
      </w:r>
    </w:p>
    <w:p>
      <w:pPr>
        <w:spacing w:before="60" w:after="0"/>
        <w:ind w:left="120"/>
        <w:jc w:val="center"/>
      </w:pPr>
      <w:r>
        <w:rPr>
          <w:rFonts w:ascii="Times New Roman" w:hAnsi="Times New Roman"/>
          <w:b w:val="false"/>
          <w:i w:val="false"/>
          <w:color w:val="000000"/>
          <w:sz w:val="22"/>
        </w:rPr>
        <w:t>LIFE EXPECTANCY TABLE</w:t>
      </w:r>
    </w:p>
    <w:tbl>
      <w:tblPr>
        <w:tblW w:w="5000" w:type="pct"/>
        <w:tblCellSpacing w:w="0" w:type="auto"/>
        <w:tblBorders>
          <w:top w:val="none"/>
          <w:left w:val="none"/>
          <w:bottom w:val="none"/>
          <w:right w:val="none"/>
          <w:insideH w:val="none"/>
          <w:insideV w:val="none"/>
        </w:tblBorders>
        <w:tblLayout w:type="fixed"/>
      </w:tblPr>
      <w:tblGrid>
        <w:gridCol w:w="1865"/>
        <w:gridCol w:w="1865"/>
        <w:gridCol w:w="1865"/>
        <w:gridCol w:w="1865"/>
        <w:gridCol w:w="1865"/>
        <w:gridCol w:w="1865"/>
      </w:tblGrid>
      <w:tr>
        <w:trPr>
          <w:trHeight w:val="210" w:hRule="atLeast"/>
        </w:trPr>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AGE</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WEEKS</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AGE</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WEEKS</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AGE</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WEEKS</w:t>
            </w:r>
          </w:p>
        </w:tc>
      </w:tr>
      <w:tr>
        <w:trPr>
          <w:trHeight w:val="210" w:hRule="atLeast"/>
        </w:trPr>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4020</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34-35</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2335</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68-69</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832</w:t>
            </w:r>
          </w:p>
        </w:tc>
      </w:tr>
      <w:tr>
        <w:trPr>
          <w:trHeight w:val="210" w:hRule="atLeast"/>
        </w:trPr>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3994</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35-36</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2288</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69-70</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801</w:t>
            </w:r>
          </w:p>
        </w:tc>
      </w:tr>
      <w:tr>
        <w:trPr>
          <w:trHeight w:val="210" w:hRule="atLeast"/>
        </w:trPr>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3942</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36-37</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2236</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70-71</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764</w:t>
            </w:r>
          </w:p>
        </w:tc>
      </w:tr>
      <w:tr>
        <w:trPr>
          <w:trHeight w:val="210" w:hRule="atLeast"/>
        </w:trPr>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3-4</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3895</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37-38</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2189</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71-72</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728</w:t>
            </w:r>
          </w:p>
        </w:tc>
      </w:tr>
      <w:tr>
        <w:trPr>
          <w:trHeight w:val="210" w:hRule="atLeast"/>
        </w:trPr>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3843</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38-39</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2142</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72-73</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697</w:t>
            </w:r>
          </w:p>
        </w:tc>
      </w:tr>
      <w:tr>
        <w:trPr>
          <w:trHeight w:val="210" w:hRule="atLeast"/>
        </w:trPr>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5-6</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3791</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39-40</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2090</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73-74</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666</w:t>
            </w:r>
          </w:p>
        </w:tc>
      </w:tr>
      <w:tr>
        <w:trPr>
          <w:trHeight w:val="210" w:hRule="atLeast"/>
        </w:trPr>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6-7</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3739</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40-41</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2044</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74-75</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629</w:t>
            </w:r>
          </w:p>
        </w:tc>
      </w:tr>
      <w:tr>
        <w:trPr>
          <w:trHeight w:val="210" w:hRule="atLeast"/>
        </w:trPr>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7-8</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3687</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41-42</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1997</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75-76</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598</w:t>
            </w:r>
          </w:p>
        </w:tc>
      </w:tr>
      <w:tr>
        <w:trPr>
          <w:trHeight w:val="210" w:hRule="atLeast"/>
        </w:trPr>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8-9</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3635</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42-43</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1950</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76-77</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572</w:t>
            </w:r>
          </w:p>
        </w:tc>
      </w:tr>
      <w:tr>
        <w:trPr>
          <w:trHeight w:val="210" w:hRule="atLeast"/>
        </w:trPr>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9-10</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3583</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43-44</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1903</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77-78</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541</w:t>
            </w:r>
          </w:p>
        </w:tc>
      </w:tr>
      <w:tr>
        <w:trPr>
          <w:trHeight w:val="210" w:hRule="atLeast"/>
        </w:trPr>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10-11</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3531</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44-45</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1856</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78-79</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510</w:t>
            </w:r>
          </w:p>
        </w:tc>
      </w:tr>
      <w:tr>
        <w:trPr>
          <w:trHeight w:val="210" w:hRule="atLeast"/>
        </w:trPr>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11-12</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3484</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45-46</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1810</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79-80</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484</w:t>
            </w:r>
          </w:p>
        </w:tc>
      </w:tr>
      <w:tr>
        <w:trPr>
          <w:trHeight w:val="210" w:hRule="atLeast"/>
        </w:trPr>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12-13</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3432</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46-47</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1763</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80-81</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458</w:t>
            </w:r>
          </w:p>
        </w:tc>
      </w:tr>
      <w:tr>
        <w:trPr>
          <w:trHeight w:val="210" w:hRule="atLeast"/>
        </w:trPr>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13-14</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3380</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47-48</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1716</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81-82</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432</w:t>
            </w:r>
          </w:p>
        </w:tc>
      </w:tr>
      <w:tr>
        <w:trPr>
          <w:trHeight w:val="210" w:hRule="atLeast"/>
        </w:trPr>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14-15</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3328</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48-49</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1669</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82-83</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406</w:t>
            </w:r>
          </w:p>
        </w:tc>
      </w:tr>
      <w:tr>
        <w:trPr>
          <w:trHeight w:val="210" w:hRule="atLeast"/>
        </w:trPr>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15-16</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3276</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49-50</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1622</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83-84</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385</w:t>
            </w:r>
          </w:p>
        </w:tc>
      </w:tr>
      <w:tr>
        <w:trPr>
          <w:trHeight w:val="210" w:hRule="atLeast"/>
        </w:trPr>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16-17</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3224</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50-51</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1576</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84-85</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359</w:t>
            </w:r>
          </w:p>
        </w:tc>
      </w:tr>
      <w:tr>
        <w:trPr>
          <w:trHeight w:val="210" w:hRule="atLeast"/>
        </w:trPr>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17-18</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3177</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51-52</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1534</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85-86</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338</w:t>
            </w:r>
          </w:p>
        </w:tc>
      </w:tr>
      <w:tr>
        <w:trPr>
          <w:trHeight w:val="210" w:hRule="atLeast"/>
        </w:trPr>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18-19</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3125</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52-53</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1487</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86-87</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317</w:t>
            </w:r>
          </w:p>
        </w:tc>
      </w:tr>
      <w:tr>
        <w:trPr>
          <w:trHeight w:val="360" w:hRule="atLeast"/>
        </w:trPr>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19-20</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3078</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53-54</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1446</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87-88</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302</w:t>
            </w:r>
          </w:p>
        </w:tc>
      </w:tr>
      <w:tr>
        <w:trPr>
          <w:trHeight w:val="210" w:hRule="atLeast"/>
        </w:trPr>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20-21</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3026</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54-55</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1399</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88-89</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281</w:t>
            </w:r>
          </w:p>
        </w:tc>
      </w:tr>
      <w:tr>
        <w:trPr>
          <w:trHeight w:val="210" w:hRule="atLeast"/>
        </w:trPr>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21-22</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2980</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55-56</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1357</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89-90</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265</w:t>
            </w:r>
          </w:p>
        </w:tc>
      </w:tr>
      <w:tr>
        <w:trPr>
          <w:trHeight w:val="210" w:hRule="atLeast"/>
        </w:trPr>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22-23</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2928</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56-57</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1310</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90-91</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250</w:t>
            </w:r>
          </w:p>
        </w:tc>
      </w:tr>
      <w:tr>
        <w:trPr>
          <w:trHeight w:val="210" w:hRule="atLeast"/>
        </w:trPr>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23-24</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2881</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57-58</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1269</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91-92</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234</w:t>
            </w:r>
          </w:p>
        </w:tc>
      </w:tr>
      <w:tr>
        <w:trPr>
          <w:trHeight w:val="210" w:hRule="atLeast"/>
        </w:trPr>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24-25</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2829</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58-59</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1227</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92-93</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224</w:t>
            </w:r>
          </w:p>
        </w:tc>
      </w:tr>
      <w:tr>
        <w:trPr>
          <w:trHeight w:val="210" w:hRule="atLeast"/>
        </w:trPr>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25-26</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2782</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59-60</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1186</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93-94</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208</w:t>
            </w:r>
          </w:p>
        </w:tc>
      </w:tr>
      <w:tr>
        <w:trPr>
          <w:trHeight w:val="210" w:hRule="atLeast"/>
        </w:trPr>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26-27</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2730</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60-61</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1144</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94-95</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198</w:t>
            </w:r>
          </w:p>
        </w:tc>
      </w:tr>
      <w:tr>
        <w:trPr>
          <w:trHeight w:val="210" w:hRule="atLeast"/>
        </w:trPr>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27-28</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2683</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61-62</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1102</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95-96</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187</w:t>
            </w:r>
          </w:p>
        </w:tc>
      </w:tr>
      <w:tr>
        <w:trPr>
          <w:trHeight w:val="210" w:hRule="atLeast"/>
        </w:trPr>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28-29</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2631</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62-63</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1061</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96-97</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177</w:t>
            </w:r>
          </w:p>
        </w:tc>
      </w:tr>
      <w:tr>
        <w:trPr>
          <w:trHeight w:val="210" w:hRule="atLeast"/>
        </w:trPr>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29-30</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2584</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63-64</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1024</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97-98</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166</w:t>
            </w:r>
          </w:p>
        </w:tc>
      </w:tr>
      <w:tr>
        <w:trPr>
          <w:trHeight w:val="210" w:hRule="atLeast"/>
        </w:trPr>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30-31</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2532</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64-65</w:t>
            </w:r>
          </w:p>
        </w:tc>
        <w:tc>
          <w:tcPr>
            <w:tcW w:w="186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983</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98-99</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156</w:t>
            </w:r>
          </w:p>
        </w:tc>
      </w:tr>
      <w:tr>
        <w:trPr>
          <w:trHeight w:val="210" w:hRule="atLeast"/>
        </w:trPr>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31-32</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2486</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65-66</w:t>
            </w:r>
          </w:p>
        </w:tc>
        <w:tc>
          <w:tcPr>
            <w:tcW w:w="186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946</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99-100</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151</w:t>
            </w:r>
          </w:p>
        </w:tc>
      </w:tr>
      <w:tr>
        <w:trPr>
          <w:trHeight w:val="210" w:hRule="atLeast"/>
        </w:trPr>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32-33</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2434</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66-67</w:t>
            </w:r>
          </w:p>
        </w:tc>
        <w:tc>
          <w:tcPr>
            <w:tcW w:w="186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910</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140</w:t>
            </w:r>
          </w:p>
        </w:tc>
      </w:tr>
      <w:tr>
        <w:trPr>
          <w:trHeight w:val="210" w:hRule="atLeast"/>
        </w:trPr>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33-34</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2387</w:t>
            </w:r>
          </w:p>
        </w:tc>
        <w:tc>
          <w:tcPr>
            <w:tcW w:w="18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67-68</w:t>
            </w:r>
          </w:p>
        </w:tc>
        <w:tc>
          <w:tcPr>
            <w:tcW w:w="186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868</w:t>
            </w:r>
          </w:p>
        </w:tc>
        <w:tc>
          <w:tcPr>
            <w:tcW w:w="18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w:t>
      </w:r>
      <w:r>
        <w:rPr>
          <w:rFonts w:ascii="Times New Roman" w:hAnsi="Times New Roman"/>
          <w:b w:val="false"/>
          <w:i w:val="false"/>
          <w:color w:val="000000"/>
          <w:sz w:val="22"/>
        </w:rPr>
        <w:t> </w:t>
      </w:r>
      <w:r>
        <w:rPr>
          <w:rFonts w:ascii="Times New Roman" w:hAnsi="Times New Roman"/>
          <w:b w:val="false"/>
          <w:i/>
          <w:color w:val="000000"/>
          <w:sz w:val="22"/>
        </w:rPr>
        <w:t xml:space="preserve">Discount. </w:t>
      </w:r>
      <w:r>
        <w:rPr>
          <w:rFonts w:ascii="Times New Roman" w:hAnsi="Times New Roman"/>
          <w:b w:val="false"/>
          <w:i w:val="false"/>
          <w:color w:val="000000"/>
          <w:sz w:val="22"/>
        </w:rPr>
        <w:t xml:space="preserve">When an original notice and petition for commutation of remaining future weekly benefits, either full or partial, is filed, the remaining future weekly benefits may be commuted to present dollar value. If the remaining future weekly benefits are converted to a present dollar value, the present dollar value shall be determined as provided in this subrule. A discount will be used to convert the value of remaining future weekly benefits to present dollar value. The discount will be based on a compound interest rate calculated pursuant to Iowa Code section </w:t>
      </w:r>
      <w:hyperlink r:id="rId20">
        <w:r>
          <w:rPr>
            <w:rStyle w:val="Hyperlink"/>
            <w:rFonts w:ascii="Times New Roman" w:hAnsi="Times New Roman"/>
            <w:b w:val="false"/>
            <w:i w:val="false"/>
            <w:color w:val="000000"/>
            <w:sz w:val="22"/>
          </w:rPr>
          <w:t>668.13(3)</w:t>
        </w:r>
      </w:hyperlink>
      <w:r>
        <w:rPr>
          <w:rFonts w:ascii="Times New Roman" w:hAnsi="Times New Roman"/>
          <w:b w:val="false"/>
          <w:i w:val="false"/>
          <w:color w:val="000000"/>
          <w:sz w:val="22"/>
        </w:rPr>
        <w:t xml:space="preserve"> and in effect on the date informal agreement between the parties is reached for commutation and the number of weeks of remaining future benefits. The interest rate used to determine the discount shall be specified on the original notice and petition for commutation filed for approval by the workers’ compensation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w:t>
      </w:r>
      <w:r>
        <w:rPr>
          <w:rFonts w:ascii="Times New Roman" w:hAnsi="Times New Roman"/>
          <w:b w:val="false"/>
          <w:i w:val="false"/>
          <w:color w:val="000000"/>
          <w:sz w:val="22"/>
        </w:rPr>
        <w:t> </w:t>
      </w:r>
      <w:r>
        <w:rPr>
          <w:rFonts w:ascii="Times New Roman" w:hAnsi="Times New Roman"/>
          <w:b w:val="false"/>
          <w:i/>
          <w:color w:val="000000"/>
          <w:sz w:val="22"/>
        </w:rPr>
        <w:t xml:space="preserve">Life expectancy and remarriage probability table. </w:t>
      </w:r>
      <w:r>
        <w:rPr>
          <w:rFonts w:ascii="Times New Roman" w:hAnsi="Times New Roman"/>
          <w:b w:val="false"/>
          <w:i w:val="false"/>
          <w:color w:val="000000"/>
          <w:sz w:val="22"/>
        </w:rPr>
        <w:t xml:space="preserve">This table expresses in weeks the combined probability of life expectancy and remarriage. The column on the left indicates the age of the surviving spouse at the time of the work-related death. Columns A through E indicate, respectively, the first through fifth years following the date of death that the surviving spouse remains unmarried. For example, if the date of death was July 1, 2005, and the surviving spouse was age 20 at the time of the decedent’s death, a commutation sought on the second anniversary of the death, July 2, 2007, would result in an expected duration of 550.02 weeks, the amount found in Column B which indicates the second year of unmarried status following age 20. Following the second anniversary of the date of death and including the third anniversary, Table C would be applicable. Begin in the left-hand column in the line indicating the age at </w:t>
      </w:r>
      <w:r>
        <w:rPr>
          <w:rFonts w:ascii="Times New Roman" w:hAnsi="Times New Roman"/>
          <w:b w:val="false"/>
          <w:i/>
          <w:color w:val="000000"/>
          <w:sz w:val="22"/>
        </w:rPr>
        <w:t>date of death</w:t>
      </w:r>
      <w:r>
        <w:rPr>
          <w:rFonts w:ascii="Times New Roman" w:hAnsi="Times New Roman"/>
          <w:b w:val="false"/>
          <w:i w:val="false"/>
          <w:color w:val="000000"/>
          <w:sz w:val="22"/>
        </w:rPr>
        <w:t>—not the age at which a commutation is sought. Then move to the column which is indicative of the number of years the surviving spouse has remained unmarried.</w:t>
      </w:r>
    </w:p>
    <w:p>
      <w:pPr>
        <w:spacing w:before="0" w:after="0"/>
        <w:ind w:left="120"/>
        <w:jc w:val="both"/>
      </w:pPr>
      <w:r>
        <w:rPr>
          <w:rFonts w:ascii="Times New Roman" w:hAnsi="Times New Roman"/>
          <w:b w:val="false"/>
          <w:i w:val="false"/>
          <w:color w:val="000000"/>
          <w:sz w:val="22"/>
        </w:rPr>
        <w:t xml:space="preserve">A surviving spouse, 20 years old on the date of the decedent’s death who seeks a commutation after the fifth anniversary of the date of death, would use Table F. The fact that the surviving spouse has remained unmarried for over five years negates use of Columns A through E. A commutation sought during the fifth year of remaining unmarried would result in an expected duration of 1031.64 weeks. For example, if the surviving spouse, who was 20 years old on the date of the decedent’s death, is 30 years old at the time a commutation is sought and seeks a commutation </w:t>
      </w:r>
      <w:r>
        <w:rPr>
          <w:rFonts w:ascii="Times New Roman" w:hAnsi="Times New Roman"/>
          <w:b w:val="false"/>
          <w:i/>
          <w:color w:val="000000"/>
          <w:sz w:val="22"/>
        </w:rPr>
        <w:t>after</w:t>
      </w:r>
      <w:r>
        <w:rPr>
          <w:rFonts w:ascii="Times New Roman" w:hAnsi="Times New Roman"/>
          <w:b w:val="false"/>
          <w:i w:val="false"/>
          <w:color w:val="000000"/>
          <w:sz w:val="22"/>
        </w:rPr>
        <w:t xml:space="preserve"> the tenth anniversary of the date of death, start in Column F in line 20 at the age column. For each year beyond the sixth anniversary of the death, move </w:t>
      </w:r>
      <w:r>
        <w:rPr>
          <w:rFonts w:ascii="Times New Roman" w:hAnsi="Times New Roman"/>
          <w:b w:val="false"/>
          <w:i/>
          <w:color w:val="000000"/>
          <w:sz w:val="22"/>
        </w:rPr>
        <w:t>down</w:t>
      </w:r>
      <w:r>
        <w:rPr>
          <w:rFonts w:ascii="Times New Roman" w:hAnsi="Times New Roman"/>
          <w:b w:val="false"/>
          <w:i w:val="false"/>
          <w:color w:val="000000"/>
          <w:sz w:val="22"/>
        </w:rPr>
        <w:t xml:space="preserve"> Column F one line for each year. [Note the left-hand age column plays no part at this point.] In this example, the 30-year-old surviving spouse who seeks a commutation after the tenth anniversary of the date of death would have an expected duration of 1247.07 weeks.</w:t>
      </w:r>
    </w:p>
    <w:p>
      <w:pPr>
        <w:spacing w:before="60" w:after="0"/>
        <w:ind w:left="120"/>
        <w:jc w:val="center"/>
      </w:pPr>
      <w:r>
        <w:rPr>
          <w:rFonts w:ascii="Times New Roman" w:hAnsi="Times New Roman"/>
          <w:b w:val="false"/>
          <w:i w:val="false"/>
          <w:color w:val="000000"/>
          <w:sz w:val="22"/>
        </w:rPr>
        <w:t>EXPECTED DURATION OF LIFE AND REMARRIAGE IN WEEKS</w:t>
      </w:r>
    </w:p>
    <w:tbl>
      <w:tblPr>
        <w:tblW w:w="5000" w:type="pct"/>
        <w:tblCellSpacing w:w="0" w:type="auto"/>
        <w:tblBorders>
          <w:top w:val="none"/>
          <w:left w:val="none"/>
          <w:bottom w:val="none"/>
          <w:right w:val="none"/>
          <w:insideH w:val="none"/>
          <w:insideV w:val="none"/>
        </w:tblBorders>
        <w:tblLayout w:type="fixed"/>
      </w:tblPr>
      <w:tblGrid>
        <w:gridCol w:w="1346"/>
        <w:gridCol w:w="1533"/>
        <w:gridCol w:w="1555"/>
        <w:gridCol w:w="1689"/>
        <w:gridCol w:w="1689"/>
        <w:gridCol w:w="1689"/>
        <w:gridCol w:w="1689"/>
      </w:tblGrid>
      <w:tr>
        <w:trPr>
          <w:trHeight w:val="210" w:hRule="atLeast"/>
        </w:trPr>
        <w:tc>
          <w:tcPr>
            <w:tcW w:w="13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AGE</w:t>
            </w:r>
          </w:p>
        </w:tc>
        <w:tc>
          <w:tcPr>
            <w:tcW w:w="153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w:t>
            </w:r>
          </w:p>
        </w:tc>
        <w:tc>
          <w:tcPr>
            <w:tcW w:w="155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w:t>
            </w:r>
          </w:p>
        </w:tc>
        <w:tc>
          <w:tcPr>
            <w:tcW w:w="16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w:t>
            </w:r>
          </w:p>
        </w:tc>
        <w:tc>
          <w:tcPr>
            <w:tcW w:w="16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w:t>
            </w:r>
          </w:p>
        </w:tc>
        <w:tc>
          <w:tcPr>
            <w:tcW w:w="16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w:t>
            </w:r>
          </w:p>
        </w:tc>
        <w:tc>
          <w:tcPr>
            <w:tcW w:w="16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19</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452.18</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505.55</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640.75</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788.27</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905.44</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993.12</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20</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495.82</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550.02</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683.69</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828.42</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943.01</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1031.64</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21</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541.23</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596.18</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729.80</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868.87</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982.17</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1071.64</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22</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589.23</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646.05</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776.66</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911.67</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1023.48</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1115.36</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23</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640.88</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696.92</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825.34</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956.43</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1068.72</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1157.99</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24</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693.76</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749.90</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875.77</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1005.20</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1113.34</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1200.77</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25</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748.61</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804.49</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929.45</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1053.51</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1158.36</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1247.07</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26</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804.72</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861.90</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982.20</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1102.07</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1206.94</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1290.45</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27</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863.24</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917.91</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1034.48</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1153.43</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1252.42</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1332.79</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28</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919.92</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972.96</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1089.02</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1201.54</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1296.56</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1376.65</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29</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975.76</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1029.70</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1140.04</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1248.06</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1342.09</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1415.27</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30</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1034.13</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1083.96</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1190.18</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1296.47</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1382.06</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1450.83</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31</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1087.87</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1135.18</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1239.43</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1337.76</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1419.17</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1482.26</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32</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1140.84</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1187.76</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1283.95</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1376.65</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1452.19</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1514.63</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33</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1195.00</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1235.69</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1325.54</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1411.36</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1486.03</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1539.38</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34</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1244.19</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1281.06</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1363.39</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1447.25</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1512.62</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1560.28</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35</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1290.62</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1322.51</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1402.06</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1475.89</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1535.47</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1577.36</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36</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1333.45</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1365.12</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1433.98</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1501.08</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1554.46</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1590.73</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37</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1377.93</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1401.32</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1462.76</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1522.96</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1570.28</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1595.37</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38</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1414.42</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1432.95</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1486.92</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1540.28</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1575.74</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1600.95</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39</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1447.51</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1460.93</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1507.65</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1548.65</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1583.08</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1603.12</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40</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1476.55</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1484.88</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1519.19</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1558.50</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1586.74</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1601.68</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41</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1501.23</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1499.62</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1531.97</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1564.58</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1586.80</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1590.32</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42</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1517.04</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1515.76</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1541.35</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1567.27</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1577.19</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1581.72</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43</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1533.81</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1528.55</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1547.54</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1560.49</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1570.28</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1564.36</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44</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1546.84</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1537.33</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1543.96</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1556.10</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1554.65</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1543.01</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45</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1556.54</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1537.28</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1543.60</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1543.67</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1534.98</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1519.60</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46</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1555.21</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1538.43</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1533.33</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1526.06</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1512.93</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1499.07</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47</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1556.30</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1530.44</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1518.64</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1506.46</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1493.84</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1463.67</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48</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1547.08</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1517.04</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1500.92</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1489.22</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1459.61</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1432.74</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49</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1532.42</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1499.98</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1484.71</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1456.21</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1429.75</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1399.10</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50</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1514.59</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1485.36</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1453.56</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1427.91</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1396.88</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1364.95</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51</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1496.96</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1453.45</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1424.86</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1395.28</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1363.33</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1322.96</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52</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1464.50</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1426.08</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1393.79</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1362.79</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1321.79</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1286.44</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53</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1433.32</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1393.23</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1359.71</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1320.40</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1285.68</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1242.63</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54</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1401.59</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1361.60</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1319.99</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1285.81</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1242.14</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1199.73</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55</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1367.01</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1320.16</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1283.74</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1241.95</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1199.37</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1155.90</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56</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1324.97</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1284.38</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1240.69</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1199.62</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1155.55</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1111.53</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57</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1286.93</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1239.69</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1196.89</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1154.69</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1110.98</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1070.85</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58</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1243.31</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1197.46</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1153.84</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1111.07</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1070.21</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1025.48</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59</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1200.31</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1153.99</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1109.49</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1069.88</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1024.57</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986.90</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60</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1156.15</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1109.74</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1069.03</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1024.18</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985.85</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944.55</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61</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1111.72</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1069.39</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1023.90</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985.32</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943.26</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902.07</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62</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1052.14</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1009.56</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976.00</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938.77</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899.17</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866.59</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63</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1010.13</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974.17</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936.60</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898.84</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866.01</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822.92</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64</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975.20</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935.34</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897.28</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866.19</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822.35</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786.37</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65</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935.81</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895.62</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864.23</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822.48</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785.91</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752.62</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66</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896.90</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863.56</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821.55</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786.69</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752.25</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713.35</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67</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864.14</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820.43</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785.30</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752.93</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712.94</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681.47</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68</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821.01</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784.34</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751.79</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713.70</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681.08</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645.13</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69</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784.83</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750.98</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712.72</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681.88</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644.76</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610.80</w:t>
            </w:r>
          </w:p>
        </w:tc>
      </w:tr>
      <w:tr>
        <w:trPr>
          <w:trHeight w:val="345"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70</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751.92</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712.57</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681.58</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646.12</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610.45</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578.30</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71</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712.75</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680.79</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645.24</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611.61</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577.91</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547.80</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72</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681.26</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644.91</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611.27</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579.40</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547.43</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513.50</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73</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645.03</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610.64</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578.74</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548.89</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513.25</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486.97</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74</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610.85</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578.30</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548.43</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514.74</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486.74</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455.68</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75</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578.57</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548.13</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514.38</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488.35</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455.51</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428.23</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76</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548.68</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514.51</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488.51</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457.72</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428.11</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397.70</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77</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514.31</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487.93</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457.11</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430.12</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397.62</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374.66</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78</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487.92</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456.77</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429.75</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411.41</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374.60</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348.88</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79</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457.82</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430.58</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400.47</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377.94</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348.85</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324.95</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80</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428.23</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397.79</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375.01</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349.47</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324.92</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298.01</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81</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400.21</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377.46</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352.11</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328.63</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298.01</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286.57</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82</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376.27</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350.69</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327.08</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300.46</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286.57</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271.47</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83</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350.54</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326.80</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300.18</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289.12</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271.47</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259.15</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84</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326.67</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299.90</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288.84</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274.06</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259.15</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249.81</w:t>
            </w:r>
          </w:p>
        </w:tc>
      </w:tr>
      <w:tr>
        <w:trPr>
          <w:trHeight w:val="210" w:hRule="atLeast"/>
        </w:trPr>
        <w:tc>
          <w:tcPr>
            <w:tcW w:w="134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85</w:t>
            </w:r>
          </w:p>
        </w:tc>
        <w:tc>
          <w:tcPr>
            <w:tcW w:w="153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299.74</w:t>
            </w:r>
          </w:p>
        </w:tc>
        <w:tc>
          <w:tcPr>
            <w:tcW w:w="15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288.56</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273.74</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261.78</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249.81</w:t>
            </w:r>
          </w:p>
        </w:tc>
        <w:tc>
          <w:tcPr>
            <w:tcW w:w="168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249.60</w:t>
            </w:r>
          </w:p>
        </w:tc>
      </w:tr>
    </w:tbl>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
        <w:r>
          <w:rPr>
            <w:rStyle w:val="Hyperlink"/>
            <w:rFonts w:ascii="Times New Roman" w:hAnsi="Times New Roman"/>
            <w:b w:val="false"/>
            <w:i w:val="false"/>
            <w:color w:val="000000"/>
            <w:sz w:val="22"/>
          </w:rPr>
          <w:t>85.45</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85.47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876—6.4</w:t>
      </w:r>
      <w:r>
        <w:rPr>
          <w:rFonts w:ascii="Times New Roman" w:hAnsi="Times New Roman"/>
          <w:b/>
          <w:i w:val="false"/>
          <w:color w:val="000000"/>
          <w:sz w:val="22"/>
        </w:rPr>
        <w:t xml:space="preserve">(85,86) </w:t>
      </w:r>
      <w:r>
        <w:rPr>
          <w:rFonts w:ascii="Times New Roman" w:hAnsi="Times New Roman"/>
          <w:b/>
          <w:i w:val="false"/>
          <w:color w:val="000000"/>
          <w:sz w:val="22"/>
        </w:rPr>
        <w:t xml:space="preserve">Forms for commutation. </w:t>
      </w:r>
      <w:r>
        <w:rPr>
          <w:rFonts w:ascii="Times New Roman" w:hAnsi="Times New Roman"/>
          <w:b w:val="false"/>
          <w:i w:val="false"/>
          <w:color w:val="000000"/>
          <w:sz w:val="22"/>
        </w:rPr>
        <w:t>Form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9 (14-0013) shall be used for a full commutation. Form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9A (14-0017) shall be used for a partial commutation. See rule </w:t>
      </w:r>
      <w:hyperlink r:id="rId23">
        <w:r>
          <w:rPr>
            <w:rStyle w:val="Hyperlink"/>
            <w:rFonts w:ascii="Times New Roman" w:hAnsi="Times New Roman"/>
            <w:b w:val="false"/>
            <w:i w:val="false"/>
            <w:color w:val="000000"/>
            <w:sz w:val="22"/>
          </w:rPr>
          <w:t>876—3.1</w:t>
        </w:r>
      </w:hyperlink>
      <w:r>
        <w:rPr>
          <w:rFonts w:ascii="Times New Roman" w:hAnsi="Times New Roman"/>
          <w:b w:val="false"/>
          <w:i w:val="false"/>
          <w:color w:val="000000"/>
          <w:sz w:val="22"/>
        </w:rPr>
        <w:t>(17A) for description of these forms.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4">
        <w:r>
          <w:rPr>
            <w:rStyle w:val="Hyperlink"/>
            <w:rFonts w:ascii="Times New Roman" w:hAnsi="Times New Roman"/>
            <w:b w:val="false"/>
            <w:i w:val="false"/>
            <w:color w:val="000000"/>
            <w:sz w:val="22"/>
          </w:rPr>
          <w:t>85.45</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85.47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876—6.5</w:t>
      </w:r>
      <w:r>
        <w:rPr>
          <w:rFonts w:ascii="Times New Roman" w:hAnsi="Times New Roman"/>
          <w:b/>
          <w:i w:val="false"/>
          <w:color w:val="000000"/>
          <w:sz w:val="22"/>
        </w:rPr>
        <w:t xml:space="preserve">(85) </w:t>
      </w:r>
      <w:r>
        <w:rPr>
          <w:rFonts w:ascii="Times New Roman" w:hAnsi="Times New Roman"/>
          <w:b/>
          <w:i w:val="false"/>
          <w:color w:val="000000"/>
          <w:sz w:val="22"/>
        </w:rPr>
        <w:t xml:space="preserve">Statement of awareness. </w:t>
      </w:r>
      <w:r>
        <w:rPr>
          <w:rFonts w:ascii="Times New Roman" w:hAnsi="Times New Roman"/>
          <w:b w:val="false"/>
          <w:i w:val="false"/>
          <w:color w:val="000000"/>
          <w:sz w:val="22"/>
        </w:rPr>
        <w:t xml:space="preserve">When a petition for settlement under Iowa Code section </w:t>
      </w:r>
      <w:hyperlink r:id="rId26">
        <w:r>
          <w:rPr>
            <w:rStyle w:val="Hyperlink"/>
            <w:rFonts w:ascii="Times New Roman" w:hAnsi="Times New Roman"/>
            <w:b w:val="false"/>
            <w:i w:val="false"/>
            <w:color w:val="000000"/>
            <w:sz w:val="22"/>
          </w:rPr>
          <w:t>85.35(3)</w:t>
        </w:r>
      </w:hyperlink>
      <w:r>
        <w:rPr>
          <w:rFonts w:ascii="Times New Roman" w:hAnsi="Times New Roman"/>
          <w:b w:val="false"/>
          <w:i w:val="false"/>
          <w:color w:val="000000"/>
          <w:sz w:val="22"/>
        </w:rPr>
        <w:t xml:space="preserve"> or commutation is submitted, it shall contain or be accompanied by a verified statement from the injured employee indicating awareness that, upon approval by the workers’ compensation commissioner of the settlement or commutation, a final bar to future claims or benefits under the Iowa workers’ compensation law for such injury shall exist except as specifically reserved in any agreement.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7">
        <w:r>
          <w:rPr>
            <w:rStyle w:val="Hyperlink"/>
            <w:rFonts w:ascii="Times New Roman" w:hAnsi="Times New Roman"/>
            <w:b w:val="false"/>
            <w:i w:val="false"/>
            <w:color w:val="000000"/>
            <w:sz w:val="22"/>
          </w:rPr>
          <w:t>85.35</w:t>
        </w:r>
      </w:hyperlink>
      <w:r>
        <w:rPr>
          <w:rFonts w:ascii="Times New Roman" w:hAnsi="Times New Roman"/>
          <w:b w:val="false"/>
          <w:i w:val="false"/>
          <w:color w:val="000000"/>
          <w:sz w:val="22"/>
        </w:rPr>
        <w:t>, </w:t>
      </w:r>
      <w:hyperlink r:id="rId28">
        <w:r>
          <w:rPr>
            <w:rStyle w:val="Hyperlink"/>
            <w:rFonts w:ascii="Times New Roman" w:hAnsi="Times New Roman"/>
            <w:b w:val="false"/>
            <w:i w:val="false"/>
            <w:color w:val="000000"/>
            <w:sz w:val="22"/>
          </w:rPr>
          <w:t>85.45</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85.47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3528C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876—6.6</w:t>
      </w:r>
      <w:r>
        <w:rPr>
          <w:rFonts w:ascii="Times New Roman" w:hAnsi="Times New Roman"/>
          <w:b/>
          <w:i w:val="false"/>
          <w:color w:val="000000"/>
          <w:sz w:val="22"/>
        </w:rPr>
        <w:t xml:space="preserve">(86) </w:t>
      </w:r>
      <w:r>
        <w:rPr>
          <w:rFonts w:ascii="Times New Roman" w:hAnsi="Times New Roman"/>
          <w:b/>
          <w:i w:val="false"/>
          <w:color w:val="000000"/>
          <w:sz w:val="22"/>
        </w:rPr>
        <w:t xml:space="preserve">Twenty-page limitation. </w:t>
      </w:r>
      <w:r>
        <w:rPr>
          <w:rFonts w:ascii="Times New Roman" w:hAnsi="Times New Roman"/>
          <w:b w:val="false"/>
          <w:i w:val="false"/>
          <w:color w:val="000000"/>
          <w:sz w:val="22"/>
        </w:rPr>
        <w:t>Unless otherwise ordered by the workers’ compensation commissioner or deputy workers’ compensation commissioner, an application for approval of a settlement or an original notice and petition for approval of a commutation or partial commutation shall not be accepted for filing if accompanied by documentation in excess of 20 pages. An order approving a settlement or an original notice and petition for commutation or partial commutation accompanied by documentary evidence in excess of 20 pages is nevertheless valid, and is neither void nor voidable.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0">
        <w:r>
          <w:rPr>
            <w:rStyle w:val="Hyperlink"/>
            <w:rFonts w:ascii="Times New Roman" w:hAnsi="Times New Roman"/>
            <w:b w:val="false"/>
            <w:i w:val="false"/>
            <w:color w:val="000000"/>
            <w:sz w:val="22"/>
          </w:rPr>
          <w:t>85.35</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85.47</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86.13</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86.27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876—6.7</w:t>
      </w:r>
      <w:r>
        <w:rPr>
          <w:rFonts w:ascii="Times New Roman" w:hAnsi="Times New Roman"/>
          <w:b/>
          <w:i w:val="false"/>
          <w:color w:val="000000"/>
          <w:sz w:val="22"/>
        </w:rPr>
        <w:t xml:space="preserve">(85,86) </w:t>
      </w:r>
      <w:r>
        <w:rPr>
          <w:rFonts w:ascii="Times New Roman" w:hAnsi="Times New Roman"/>
          <w:b/>
          <w:i w:val="false"/>
          <w:color w:val="000000"/>
          <w:sz w:val="22"/>
        </w:rPr>
        <w:t xml:space="preserve">Claimant statement. </w:t>
      </w:r>
      <w:r>
        <w:rPr>
          <w:rFonts w:ascii="Times New Roman" w:hAnsi="Times New Roman"/>
          <w:b w:val="false"/>
          <w:i w:val="false"/>
          <w:color w:val="000000"/>
          <w:sz w:val="22"/>
        </w:rPr>
        <w:t>When the claimant is not represented by counsel, a claimant’s statement on Form 14-0163, which the claimant has personally completed, certified and signed, must be submitted with all settlement and commutation forms and documents.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4">
        <w:r>
          <w:rPr>
            <w:rStyle w:val="Hyperlink"/>
            <w:rFonts w:ascii="Times New Roman" w:hAnsi="Times New Roman"/>
            <w:b w:val="false"/>
            <w:i w:val="false"/>
            <w:color w:val="000000"/>
            <w:sz w:val="22"/>
          </w:rPr>
          <w:t>85.35</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86.8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3528C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876—6.8</w:t>
      </w:r>
      <w:r>
        <w:rPr>
          <w:rFonts w:ascii="Times New Roman" w:hAnsi="Times New Roman"/>
          <w:b/>
          <w:i w:val="false"/>
          <w:color w:val="000000"/>
          <w:sz w:val="22"/>
        </w:rPr>
        <w:t xml:space="preserve">(85,86) </w:t>
      </w:r>
      <w:r>
        <w:rPr>
          <w:rFonts w:ascii="Times New Roman" w:hAnsi="Times New Roman"/>
          <w:b/>
          <w:i w:val="false"/>
          <w:color w:val="000000"/>
          <w:sz w:val="22"/>
        </w:rPr>
        <w:t xml:space="preserve">Failure to timely file settlement. </w:t>
      </w:r>
      <w:r>
        <w:rPr>
          <w:rFonts w:ascii="Times New Roman" w:hAnsi="Times New Roman"/>
          <w:b w:val="false"/>
          <w:i w:val="false"/>
          <w:color w:val="000000"/>
          <w:sz w:val="22"/>
        </w:rPr>
        <w:t>If a party notifies the workers’ compensation commissioner that a matter scheduled for a hearing has been settled and the matter is removed from the hearing schedule, the proposed settlement shall be filed with the workers’ compensation commissioner within 60 days of the notification. A party may, within 60 days of the notification, request an extension of time to file the settlement documents. If the settlement documents are not timely filed, the matter will be reassigned for hearing in Des Moines at a date determined by the workers’ compensation commissioner and the parties cannot request that the matter be rescheduled. Any matter rescheduled because settlement documents were not timely filed shall not again be removed from the hearing schedule because a party notifies the workers’ compensation commissioner of a settlement.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6">
        <w:r>
          <w:rPr>
            <w:rStyle w:val="Hyperlink"/>
            <w:rFonts w:ascii="Times New Roman" w:hAnsi="Times New Roman"/>
            <w:b w:val="false"/>
            <w:i w:val="false"/>
            <w:color w:val="000000"/>
            <w:sz w:val="22"/>
          </w:rPr>
          <w:t>85.35,</w:t>
        </w:r>
      </w:hyperlink>
      <w:r>
        <w:rPr>
          <w:rFonts w:ascii="Times New Roman" w:hAnsi="Times New Roman"/>
          <w:b w:val="false"/>
          <w:i w:val="false"/>
          <w:color w:val="000000"/>
          <w:sz w:val="22"/>
        </w:rPr>
        <w:t> </w:t>
      </w:r>
      <w:hyperlink r:id="rId37">
        <w:r>
          <w:rPr>
            <w:rStyle w:val="Hyperlink"/>
            <w:rFonts w:ascii="Times New Roman" w:hAnsi="Times New Roman"/>
            <w:b w:val="false"/>
            <w:i w:val="false"/>
            <w:color w:val="000000"/>
            <w:sz w:val="22"/>
          </w:rPr>
          <w:t>85.47</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85.48</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86.8</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86.13</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86.27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3528C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[Emergency filed and effective 9/19/75—published 10/6/75]</w:t>
      </w:r>
    </w:p>
    <w:p>
      <w:pPr>
        <w:spacing w:before="0" w:after="0"/>
        <w:ind w:left="120"/>
        <w:jc w:val="center"/>
      </w:pPr>
      <w:r>
        <w:rPr>
          <w:rFonts w:ascii="Times New Roman" w:hAnsi="Times New Roman"/>
          <w:b w:val="false"/>
          <w:i w:val="false"/>
          <w:color w:val="000000"/>
          <w:sz w:val="21"/>
        </w:rPr>
        <w:t>[Filed 11/17/75, Notice 10/6/75—published 12/1/75, effective 1/5/76]</w:t>
      </w:r>
    </w:p>
    <w:p>
      <w:pPr>
        <w:spacing w:before="0" w:after="0"/>
        <w:ind w:left="120"/>
        <w:jc w:val="center"/>
      </w:pPr>
      <w:r>
        <w:rPr>
          <w:rFonts w:ascii="Times New Roman" w:hAnsi="Times New Roman"/>
          <w:b w:val="false"/>
          <w:i w:val="false"/>
          <w:color w:val="000000"/>
          <w:sz w:val="21"/>
        </w:rPr>
        <w:t>[Filed emergency 6/10/77—published 6/29/77, effective 7/1/77]</w:t>
      </w:r>
    </w:p>
    <w:p>
      <w:pPr>
        <w:spacing w:before="0" w:after="0"/>
        <w:ind w:left="120"/>
        <w:jc w:val="center"/>
      </w:pPr>
      <w:r>
        <w:rPr>
          <w:rFonts w:ascii="Times New Roman" w:hAnsi="Times New Roman"/>
          <w:b w:val="false"/>
          <w:i w:val="false"/>
          <w:color w:val="000000"/>
          <w:sz w:val="21"/>
        </w:rPr>
        <w:t>[Filed 8/3/77, Notice 6/29/77—published 8/24/77, effective 9/28/77]</w:t>
      </w:r>
    </w:p>
    <w:p>
      <w:pPr>
        <w:spacing w:before="0" w:after="0"/>
        <w:ind w:left="120"/>
        <w:jc w:val="center"/>
      </w:pPr>
      <w:r>
        <w:rPr>
          <w:rFonts w:ascii="Times New Roman" w:hAnsi="Times New Roman"/>
          <w:b w:val="false"/>
          <w:i w:val="false"/>
          <w:color w:val="000000"/>
          <w:sz w:val="21"/>
        </w:rPr>
        <w:t>[Filed emergency 6/18/82—published 7/7/82, effective 7/1/82]</w:t>
      </w:r>
    </w:p>
    <w:p>
      <w:pPr>
        <w:spacing w:before="0" w:after="0"/>
        <w:ind w:left="120"/>
        <w:jc w:val="center"/>
      </w:pPr>
      <w:r>
        <w:rPr>
          <w:rFonts w:ascii="Times New Roman" w:hAnsi="Times New Roman"/>
          <w:b w:val="false"/>
          <w:i w:val="false"/>
          <w:color w:val="000000"/>
          <w:sz w:val="21"/>
        </w:rPr>
        <w:t>[Filed 6/13/84, Notice 4/25/84—published 7/4/84, effective 8/8/84]</w:t>
      </w:r>
    </w:p>
    <w:p>
      <w:pPr>
        <w:spacing w:before="0" w:after="0"/>
        <w:ind w:left="120"/>
        <w:jc w:val="center"/>
      </w:pPr>
      <w:r>
        <w:rPr>
          <w:rFonts w:ascii="Times New Roman" w:hAnsi="Times New Roman"/>
          <w:b w:val="false"/>
          <w:i w:val="false"/>
          <w:color w:val="000000"/>
          <w:sz w:val="21"/>
        </w:rPr>
        <w:t>[Filed 3/21/85, Notice 1/2/85—published 4/10/85, effective 5/15/85]</w:t>
      </w:r>
    </w:p>
    <w:p>
      <w:pPr>
        <w:spacing w:before="0" w:after="0"/>
        <w:ind w:left="120"/>
        <w:jc w:val="center"/>
      </w:pPr>
      <w:r>
        <w:rPr>
          <w:rFonts w:ascii="Times New Roman" w:hAnsi="Times New Roman"/>
          <w:b w:val="false"/>
          <w:i w:val="false"/>
          <w:color w:val="000000"/>
          <w:sz w:val="21"/>
        </w:rPr>
        <w:t>[Filed emergency 3/28/85—published 4/24/85, effective 3/28/85]</w:t>
      </w:r>
    </w:p>
    <w:p>
      <w:pPr>
        <w:spacing w:before="0" w:after="0"/>
        <w:ind w:left="120"/>
        <w:jc w:val="center"/>
      </w:pPr>
      <w:r>
        <w:rPr>
          <w:rFonts w:ascii="Times New Roman" w:hAnsi="Times New Roman"/>
          <w:b w:val="false"/>
          <w:i w:val="false"/>
          <w:color w:val="000000"/>
          <w:sz w:val="21"/>
        </w:rPr>
        <w:t>[Editorially transferred from [500] to [343] IAC Supp. 9/24/86]</w:t>
      </w:r>
    </w:p>
    <w:p>
      <w:pPr>
        <w:spacing w:before="0" w:after="0"/>
        <w:ind w:left="120"/>
        <w:jc w:val="center"/>
      </w:pPr>
      <w:r>
        <w:rPr>
          <w:rFonts w:ascii="Times New Roman" w:hAnsi="Times New Roman"/>
          <w:b w:val="false"/>
          <w:i w:val="false"/>
          <w:color w:val="000000"/>
          <w:sz w:val="21"/>
        </w:rPr>
        <w:t>[Filed 6/29/89, Notice 5/31/89—published 7/26/89, effective 8/30/89]</w:t>
      </w:r>
    </w:p>
    <w:p>
      <w:pPr>
        <w:spacing w:before="0" w:after="0"/>
        <w:ind w:left="120"/>
        <w:jc w:val="center"/>
      </w:pPr>
      <w:r>
        <w:rPr>
          <w:rFonts w:ascii="Times New Roman" w:hAnsi="Times New Roman"/>
          <w:b w:val="false"/>
          <w:i w:val="false"/>
          <w:color w:val="000000"/>
          <w:sz w:val="21"/>
        </w:rPr>
        <w:t>[Filed 11/9/89, Notice 9/20/89—published 11/29/89, effective 1/3/90]</w:t>
      </w:r>
    </w:p>
    <w:p>
      <w:pPr>
        <w:spacing w:before="0" w:after="0"/>
        <w:ind w:left="120"/>
        <w:jc w:val="center"/>
      </w:pPr>
      <w:r>
        <w:rPr>
          <w:rFonts w:ascii="Times New Roman" w:hAnsi="Times New Roman"/>
          <w:b w:val="false"/>
          <w:i w:val="false"/>
          <w:color w:val="000000"/>
          <w:sz w:val="21"/>
        </w:rPr>
        <w:t>[Filed 8/26/94, Notice 7/20/94—published 9/14/94, effective 10/19/94]</w:t>
      </w:r>
    </w:p>
    <w:p>
      <w:pPr>
        <w:spacing w:before="0" w:after="0"/>
        <w:ind w:left="120"/>
        <w:jc w:val="center"/>
      </w:pPr>
      <w:r>
        <w:rPr>
          <w:rFonts w:ascii="Times New Roman" w:hAnsi="Times New Roman"/>
          <w:b w:val="false"/>
          <w:i w:val="false"/>
          <w:color w:val="000000"/>
          <w:sz w:val="21"/>
        </w:rPr>
        <w:t>[Filed 1/10/97, Notice 12/4/96—published 1/29/97, effective 3/5/97]</w:t>
      </w:r>
    </w:p>
    <w:p>
      <w:pPr>
        <w:spacing w:before="0" w:after="0"/>
        <w:ind w:left="120"/>
        <w:jc w:val="center"/>
      </w:pPr>
      <w:r>
        <w:rPr>
          <w:rFonts w:ascii="Times New Roman" w:hAnsi="Times New Roman"/>
          <w:b w:val="false"/>
          <w:i w:val="false"/>
          <w:color w:val="000000"/>
          <w:sz w:val="21"/>
        </w:rPr>
        <w:t>[Filed emergency 7/1/98—published 7/29/98, effective 7/1/98]</w:t>
      </w:r>
    </w:p>
    <w:p>
      <w:pPr>
        <w:spacing w:before="0" w:after="0"/>
        <w:ind w:left="120"/>
        <w:jc w:val="center"/>
      </w:pPr>
      <w:r>
        <w:rPr>
          <w:rFonts w:ascii="Times New Roman" w:hAnsi="Times New Roman"/>
          <w:b w:val="false"/>
          <w:i w:val="false"/>
          <w:color w:val="000000"/>
          <w:sz w:val="21"/>
        </w:rPr>
        <w:t>[Filed 9/4/98, Notice 7/29/98—published 9/23/98, effective 10/28/98]</w:t>
      </w:r>
    </w:p>
    <w:p>
      <w:pPr>
        <w:spacing w:before="0" w:after="0"/>
        <w:ind w:left="120"/>
        <w:jc w:val="center"/>
      </w:pPr>
      <w:r>
        <w:rPr>
          <w:rFonts w:ascii="Times New Roman" w:hAnsi="Times New Roman"/>
          <w:b w:val="false"/>
          <w:i w:val="false"/>
          <w:color w:val="000000"/>
          <w:sz w:val="21"/>
        </w:rPr>
        <w:t>[Filed 2/15/02, Notice 1/9/02—published 3/6/02, effective 4/10/02]</w:t>
      </w:r>
    </w:p>
    <w:p>
      <w:pPr>
        <w:spacing w:before="0" w:after="0"/>
        <w:ind w:left="120"/>
        <w:jc w:val="center"/>
      </w:pPr>
      <w:r>
        <w:rPr>
          <w:rFonts w:ascii="Times New Roman" w:hAnsi="Times New Roman"/>
          <w:b w:val="false"/>
          <w:i w:val="false"/>
          <w:color w:val="000000"/>
          <w:sz w:val="21"/>
        </w:rPr>
        <w:t>[Filed 11/4/05, Notice 9/14/05—published 11/23/05, effective 1/1/06]</w:t>
      </w:r>
    </w:p>
    <w:p>
      <w:pPr>
        <w:spacing w:before="0" w:after="0"/>
        <w:ind w:left="120"/>
        <w:jc w:val="center"/>
      </w:pPr>
      <w:r>
        <w:rPr>
          <w:rFonts w:ascii="Times New Roman" w:hAnsi="Times New Roman"/>
          <w:b w:val="false"/>
          <w:i w:val="false"/>
          <w:color w:val="000000"/>
          <w:sz w:val="21"/>
        </w:rPr>
        <w:t>[Filed 10/5/06, Notice 8/30/06—published 10/25/06, effective 11/29/06]</w:t>
      </w:r>
    </w:p>
    <w:p>
      <w:pPr>
        <w:spacing w:before="0" w:after="0"/>
        <w:ind w:left="120"/>
        <w:jc w:val="center"/>
      </w:pPr>
      <w:r>
        <w:rPr>
          <w:rFonts w:ascii="Times New Roman" w:hAnsi="Times New Roman"/>
          <w:b w:val="false"/>
          <w:i w:val="false"/>
          <w:color w:val="000000"/>
          <w:sz w:val="21"/>
        </w:rPr>
        <w:t>[Filed ARC 3528C</w:t>
      </w:r>
      <w:r>
        <w:rPr>
          <w:rFonts w:ascii="Times New Roman" w:hAnsi="Times New Roman"/>
          <w:b w:val="false"/>
          <w:i w:val="false"/>
          <w:color w:val="000000"/>
          <w:sz w:val="21"/>
        </w:rPr>
        <w:t xml:space="preserve"> (Notice ARC 3414C, IAB 10/25/17)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ARC 6841C</w:t>
      </w:r>
      <w:r>
        <w:rPr>
          <w:rFonts w:ascii="Times New Roman" w:hAnsi="Times New Roman"/>
          <w:b w:val="false"/>
          <w:i w:val="false"/>
          <w:color w:val="000000"/>
          <w:sz w:val="21"/>
        </w:rPr>
        <w:t xml:space="preserve"> (Notice ARC 6701C, IAB 11/30/22)</w:t>
      </w:r>
      <w:r>
        <w:rPr>
          <w:rFonts w:ascii="Times New Roman" w:hAnsi="Times New Roman"/>
          <w:b w:val="false"/>
          <w:i w:val="false"/>
          <w:color w:val="000000"/>
          <w:sz w:val="21"/>
        </w:rPr>
        <w:t>, IAB 2/8/23, effective 3/15/23]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5.35.pdf" Type="http://schemas.openxmlformats.org/officeDocument/2006/relationships/hyperlink" Id="rId5"/>
    <Relationship TargetMode="External" Target="https://www.legis.iowa.gov/docs/ico/chapter/85.35.pdf" Type="http://schemas.openxmlformats.org/officeDocument/2006/relationships/hyperlink" Id="rId6"/>
    <Relationship TargetMode="External" Target="https://www.legis.iowa.gov/docs/ico/chapter/85.35.pdf" Type="http://schemas.openxmlformats.org/officeDocument/2006/relationships/hyperlink" Id="rId7"/>
    <Relationship TargetMode="External" Target="https://www.legis.iowa.gov/docs/ico/chapter/85.35.pdf" Type="http://schemas.openxmlformats.org/officeDocument/2006/relationships/hyperlink" Id="rId8"/>
    <Relationship TargetMode="External" Target="https://www.legis.iowa.gov/docs/ico/chapter/85.35.pdf" Type="http://schemas.openxmlformats.org/officeDocument/2006/relationships/hyperlink" Id="rId9"/>
    <Relationship TargetMode="External" Target="https://www.legis.iowa.gov/docs/ico/chapter/85.35.pdf" Type="http://schemas.openxmlformats.org/officeDocument/2006/relationships/hyperlink" Id="rId10"/>
    <Relationship TargetMode="External" Target="https://www.legis.iowa.gov/docs/ico/chapter/85.35.pdf" Type="http://schemas.openxmlformats.org/officeDocument/2006/relationships/hyperlink" Id="rId11"/>
    <Relationship TargetMode="External" Target="https://www.legis.iowa.gov/docs/ico/chapter/85.35.pdf" Type="http://schemas.openxmlformats.org/officeDocument/2006/relationships/hyperlink" Id="rId12"/>
    <Relationship TargetMode="External" Target="https://www.legis.iowa.gov/docs/ico/chapter/85.26.pdf" Type="http://schemas.openxmlformats.org/officeDocument/2006/relationships/hyperlink" Id="rId13"/>
    <Relationship TargetMode="External" Target="https://www.legis.iowa.gov/docs/ico/chapter/85.35.pdf" Type="http://schemas.openxmlformats.org/officeDocument/2006/relationships/hyperlink" Id="rId14"/>
    <Relationship TargetMode="External" Target="https://www.legis.iowa.gov/docs/ico/chapter/85.35.pdf" Type="http://schemas.openxmlformats.org/officeDocument/2006/relationships/hyperlink" Id="rId15"/>
    <Relationship TargetMode="External" Target="https://www.legis.iowa.gov/docs/iac/rule/876.6.4.pdf" Type="http://schemas.openxmlformats.org/officeDocument/2006/relationships/hyperlink" Id="rId16"/>
    <Relationship TargetMode="External" Target="https://www.legis.iowa.gov/docs/ico/chapter/85.45.pdf" Type="http://schemas.openxmlformats.org/officeDocument/2006/relationships/hyperlink" Id="rId17"/>
    <Relationship TargetMode="External" Target="https://www.legis.iowa.gov/docs/ico/chapter/85.47.pdf" Type="http://schemas.openxmlformats.org/officeDocument/2006/relationships/hyperlink" Id="rId18"/>
    <Relationship TargetMode="External" Target="https://www.legis.iowa.gov/docs/iac/rule/876.6.3.pdf" Type="http://schemas.openxmlformats.org/officeDocument/2006/relationships/hyperlink" Id="rId19"/>
    <Relationship TargetMode="External" Target="https://www.legis.iowa.gov/docs/ico/chapter/668.13.pdf" Type="http://schemas.openxmlformats.org/officeDocument/2006/relationships/hyperlink" Id="rId20"/>
    <Relationship TargetMode="External" Target="https://www.legis.iowa.gov/docs/ico/chapter/85.45.pdf" Type="http://schemas.openxmlformats.org/officeDocument/2006/relationships/hyperlink" Id="rId21"/>
    <Relationship TargetMode="External" Target="https://www.legis.iowa.gov/docs/ico/chapter/85.47.pdf" Type="http://schemas.openxmlformats.org/officeDocument/2006/relationships/hyperlink" Id="rId22"/>
    <Relationship TargetMode="External" Target="https://www.legis.iowa.gov/docs/iac/rule/876.3.1.pdf" Type="http://schemas.openxmlformats.org/officeDocument/2006/relationships/hyperlink" Id="rId23"/>
    <Relationship TargetMode="External" Target="https://www.legis.iowa.gov/docs/ico/chapter/85.45.pdf" Type="http://schemas.openxmlformats.org/officeDocument/2006/relationships/hyperlink" Id="rId24"/>
    <Relationship TargetMode="External" Target="https://www.legis.iowa.gov/docs/ico/chapter/85.47.pdf" Type="http://schemas.openxmlformats.org/officeDocument/2006/relationships/hyperlink" Id="rId25"/>
    <Relationship TargetMode="External" Target="https://www.legis.iowa.gov/docs/ico/chapter/85.35.pdf" Type="http://schemas.openxmlformats.org/officeDocument/2006/relationships/hyperlink" Id="rId26"/>
    <Relationship TargetMode="External" Target="https://www.legis.iowa.gov/docs/ico/chapter/85.35.pdf" Type="http://schemas.openxmlformats.org/officeDocument/2006/relationships/hyperlink" Id="rId27"/>
    <Relationship TargetMode="External" Target="https://www.legis.iowa.gov/docs/ico/chapter/85.45.pdf" Type="http://schemas.openxmlformats.org/officeDocument/2006/relationships/hyperlink" Id="rId28"/>
    <Relationship TargetMode="External" Target="https://www.legis.iowa.gov/docs/ico/chapter/85.47.pdf" Type="http://schemas.openxmlformats.org/officeDocument/2006/relationships/hyperlink" Id="rId29"/>
    <Relationship TargetMode="External" Target="https://www.legis.iowa.gov/docs/ico/chapter/85.35.pdf" Type="http://schemas.openxmlformats.org/officeDocument/2006/relationships/hyperlink" Id="rId30"/>
    <Relationship TargetMode="External" Target="https://www.legis.iowa.gov/docs/ico/chapter/85.47.pdf" Type="http://schemas.openxmlformats.org/officeDocument/2006/relationships/hyperlink" Id="rId31"/>
    <Relationship TargetMode="External" Target="https://www.legis.iowa.gov/docs/ico/chapter/86.13.pdf" Type="http://schemas.openxmlformats.org/officeDocument/2006/relationships/hyperlink" Id="rId32"/>
    <Relationship TargetMode="External" Target="https://www.legis.iowa.gov/docs/ico/chapter/86.27.pdf" Type="http://schemas.openxmlformats.org/officeDocument/2006/relationships/hyperlink" Id="rId33"/>
    <Relationship TargetMode="External" Target="https://www.legis.iowa.gov/docs/ico/chapter/85.35.pdf" Type="http://schemas.openxmlformats.org/officeDocument/2006/relationships/hyperlink" Id="rId34"/>
    <Relationship TargetMode="External" Target="https://www.legis.iowa.gov/docs/ico/chapter/86.8.pdf" Type="http://schemas.openxmlformats.org/officeDocument/2006/relationships/hyperlink" Id="rId35"/>
    <Relationship TargetMode="External" Target="https://www.legis.iowa.gov/docs/ico/chapter/85.35.pdf" Type="http://schemas.openxmlformats.org/officeDocument/2006/relationships/hyperlink" Id="rId36"/>
    <Relationship TargetMode="External" Target="https://www.legis.iowa.gov/docs/ico/chapter/85.47.pdf" Type="http://schemas.openxmlformats.org/officeDocument/2006/relationships/hyperlink" Id="rId37"/>
    <Relationship TargetMode="External" Target="https://www.legis.iowa.gov/docs/ico/chapter/85.48.pdf" Type="http://schemas.openxmlformats.org/officeDocument/2006/relationships/hyperlink" Id="rId38"/>
    <Relationship TargetMode="External" Target="https://www.legis.iowa.gov/docs/ico/chapter/86.8.pdf" Type="http://schemas.openxmlformats.org/officeDocument/2006/relationships/hyperlink" Id="rId39"/>
    <Relationship TargetMode="External" Target="https://www.legis.iowa.gov/docs/ico/chapter/86.13.pdf" Type="http://schemas.openxmlformats.org/officeDocument/2006/relationships/hyperlink" Id="rId40"/>
    <Relationship TargetMode="External" Target="https://www.legis.iowa.gov/docs/ico/chapter/86.27.pdf" Type="http://schemas.openxmlformats.org/officeDocument/2006/relationships/hyperlink" Id="rId4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