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FORMS</w:t>
      </w:r>
    </w:p>
    <w:p>
      <w:pPr>
        <w:spacing w:before="0" w:after="0"/>
        <w:ind w:left="120"/>
        <w:jc w:val="center"/>
      </w:pPr>
      <w:r>
        <w:rPr>
          <w:rFonts w:ascii="Times New Roman" w:hAnsi="Times New Roman"/>
          <w:b w:val="false"/>
          <w:i w:val="false"/>
          <w:color w:val="000000"/>
          <w:sz w:val="14"/>
        </w:rPr>
        <w:t>[Prior to 9/24/86 see Industrial Commissioner[500]]</w:t>
      </w:r>
    </w:p>
    <w:p>
      <w:pPr>
        <w:spacing w:before="0" w:after="0"/>
        <w:ind w:left="120"/>
        <w:jc w:val="center"/>
      </w:pP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876—3.1</w:t>
      </w:r>
      <w:r>
        <w:rPr>
          <w:rFonts w:ascii="Times New Roman" w:hAnsi="Times New Roman"/>
          <w:b/>
          <w:i w:val="false"/>
          <w:color w:val="000000"/>
          <w:sz w:val="22"/>
        </w:rPr>
        <w:t xml:space="preserve">(17A)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forms are available from the division of workers’ compensation for use in matters under the jurisdiction of the workers’ compensation commissioner. Insurance carriers, self-insured employers, or their adjusting agents may reproduce the forms in which event the name, address, telephone number, and identification number may be imprinted. The current revision of the form must be used. Each form is identified by a form number. This form number follows each form name listed below and is used when requesting that specific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First report of injury (FROI). </w:t>
      </w:r>
      <w:r>
        <w:rPr>
          <w:rFonts w:ascii="Times New Roman" w:hAnsi="Times New Roman"/>
          <w:b w:val="false"/>
          <w:i w:val="false"/>
          <w:color w:val="000000"/>
          <w:sz w:val="22"/>
        </w:rPr>
        <w:t xml:space="preserve">The FROI contains general information concerning the employee, the employer and the claimed injury. A FROI is to be filed whether or not an adjudication or admission of liability for the injury exists and is to be filed as provided in Iowa Code section </w:t>
      </w:r>
      <w:hyperlink r:id="rId5">
        <w:r>
          <w:rPr>
            <w:rStyle w:val="Hyperlink"/>
            <w:rFonts w:ascii="Times New Roman" w:hAnsi="Times New Roman"/>
            <w:b w:val="false"/>
            <w:i w:val="false"/>
            <w:color w:val="000000"/>
            <w:sz w:val="22"/>
          </w:rPr>
          <w:t>86.11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876—Chapter 11</w:t>
        </w:r>
      </w:hyperlink>
      <w:r>
        <w:rPr>
          <w:rFonts w:ascii="Times New Roman" w:hAnsi="Times New Roman"/>
          <w:b w:val="false"/>
          <w:i w:val="false"/>
          <w:color w:val="000000"/>
          <w:sz w:val="22"/>
        </w:rPr>
        <w:t xml:space="preserve">. The FROI is to be filed when demanded by the commissioner pursuant to Iowa Code section </w:t>
      </w:r>
      <w:hyperlink r:id="rId7">
        <w:r>
          <w:rPr>
            <w:rStyle w:val="Hyperlink"/>
            <w:rFonts w:ascii="Times New Roman" w:hAnsi="Times New Roman"/>
            <w:b w:val="false"/>
            <w:i w:val="false"/>
            <w:color w:val="000000"/>
            <w:sz w:val="22"/>
          </w:rPr>
          <w:t>86.12</w:t>
        </w:r>
      </w:hyperlink>
      <w:r>
        <w:rPr>
          <w:rFonts w:ascii="Times New Roman" w:hAnsi="Times New Roman"/>
          <w:b w:val="false"/>
          <w:i w:val="false"/>
          <w:color w:val="000000"/>
          <w:sz w:val="22"/>
        </w:rPr>
        <w:t xml:space="preserve"> and when an employer is served with an original notice and petition that alleges an injury for which a FROI has not been filed. If an original notice and petition alleges multiple injury dates, only one FROI should be filed, and the date of injury reported should be the date the reporter uses when adjusting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Subsequent report of injury (SROI).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SROI provides for filing of notice of commencement of payments, correcting erroneous claim information, supplying additional information, denying compensability, agreeing to the weekly benefit rate and agreeing to make payments under the Workers’ Compensation Act, reporting the status of a claim, or recording benefits paid. Notice of commencement of payments shall be filed within 30 days of the first payment. When liability on a claim is denied, a letter shall be sent to claimant stating reasons for denial. The SROI shall also be filed when compensation is terminated or interrupted. Medical data supporting the action taken shall be filed when temporary total disability or temporary partial disability exceeds 13 weeks or when the employee sustains a permanent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and insurance carrier who are required to file medical data shall file the medical data in WCES. The employer or insurance carrier or the employer’s or insurance carrier’s agent shall register in WCES to file the medical data. The filer will receive a status update for the information the filer submits based upon the status the filer selects and for which the filer is approved in WCES.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3.1(3)</w:t>
      </w:r>
      <w:r>
        <w:rPr>
          <w:rFonts w:ascii="Times New Roman" w:hAnsi="Times New Roman"/>
          <w:b w:val="false"/>
          <w:i w:val="false"/>
          <w:color w:val="000000"/>
          <w:sz w:val="22"/>
        </w:rPr>
        <w:t xml:space="preserve"> to </w:t>
      </w:r>
      <w:r>
        <w:rPr>
          <w:rFonts w:ascii="Times New Roman" w:hAnsi="Times New Roman"/>
          <w:b/>
          <w:i w:val="false"/>
          <w:color w:val="000000"/>
          <w:sz w:val="22"/>
        </w:rPr>
        <w:t>3.1(6)</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w:t>
      </w:r>
      <w:r>
        <w:rPr>
          <w:rFonts w:ascii="Times New Roman" w:hAnsi="Times New Roman"/>
          <w:b w:val="false"/>
          <w:i w:val="false"/>
          <w:color w:val="000000"/>
          <w:sz w:val="22"/>
        </w:rPr>
        <w:t> </w:t>
      </w:r>
      <w:r>
        <w:rPr>
          <w:rFonts w:ascii="Times New Roman" w:hAnsi="Times New Roman"/>
          <w:b w:val="false"/>
          <w:i/>
          <w:color w:val="000000"/>
          <w:sz w:val="22"/>
        </w:rPr>
        <w:t xml:space="preserve">Form—original notice and petition. </w:t>
      </w:r>
      <w:r>
        <w:rPr>
          <w:rFonts w:ascii="Times New Roman" w:hAnsi="Times New Roman"/>
          <w:b w:val="false"/>
          <w:i w:val="false"/>
          <w:color w:val="000000"/>
          <w:sz w:val="22"/>
        </w:rPr>
        <w:t>The following forms are types of original notice and petition: original notice and petition—Form 100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14-0005); original notice and petition concerning application for independent medical examination—Form 100A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14-0007); answer and order concerning application for independent medical examination—Form 100A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14-0007A); original notice and petition concerning vocational rehabilitation program benefit—Form 100B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14-0009); answer concerning vocational rehabilitation program benefit—Form 100B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14-0009A); original notice, petition concerning application for alternate medical care—Form 100C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14-0011); answer concerning application for alternate medical care—Form 100C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14-0011A); original notice and petition concerning application for vocational training and education—Form 100D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14-0012); answer concerning application for vocational training and education—Form 100D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14-0012A); original notice and petition for full commutation of all remaining benefits of ten weeks or more </w:t>
      </w:r>
      <w:hyperlink r:id="rId8">
        <w:r>
          <w:rPr>
            <w:rStyle w:val="Hyperlink"/>
            <w:rFonts w:ascii="Times New Roman" w:hAnsi="Times New Roman"/>
            <w:b w:val="false"/>
            <w:i w:val="false"/>
            <w:color w:val="000000"/>
            <w:sz w:val="22"/>
          </w:rPr>
          <w:t>876 IAC 6.2(6)</w:t>
        </w:r>
      </w:hyperlink>
      <w:r>
        <w:rPr>
          <w:rFonts w:ascii="Times New Roman" w:hAnsi="Times New Roman"/>
          <w:b w:val="false"/>
          <w:i w:val="false"/>
          <w:color w:val="000000"/>
          <w:sz w:val="22"/>
        </w:rPr>
        <w:t>—Form 9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14-0013); and original notice and petition and order for partial commutation—Form 9A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14-0017). See </w:t>
      </w:r>
      <w:hyperlink r:id="rId9">
        <w:r>
          <w:rPr>
            <w:rStyle w:val="Hyperlink"/>
            <w:rFonts w:ascii="Times New Roman" w:hAnsi="Times New Roman"/>
            <w:b w:val="false"/>
            <w:i w:val="false"/>
            <w:color w:val="000000"/>
            <w:sz w:val="22"/>
          </w:rPr>
          <w:t>rule 876—4.6(85,86,17A)</w:t>
        </w:r>
      </w:hyperlink>
      <w:r>
        <w:rPr>
          <w:rFonts w:ascii="Times New Roman" w:hAnsi="Times New Roman"/>
          <w:b w:val="false"/>
          <w:i w:val="false"/>
          <w:color w:val="000000"/>
          <w:sz w:val="22"/>
        </w:rPr>
        <w:t xml:space="preserve"> for further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w:t>
      </w:r>
      <w:r>
        <w:rPr>
          <w:rFonts w:ascii="Times New Roman" w:hAnsi="Times New Roman"/>
          <w:b w:val="false"/>
          <w:i w:val="false"/>
          <w:color w:val="000000"/>
          <w:sz w:val="22"/>
        </w:rPr>
        <w:t> </w:t>
      </w:r>
      <w:r>
        <w:rPr>
          <w:rFonts w:ascii="Times New Roman" w:hAnsi="Times New Roman"/>
          <w:b w:val="false"/>
          <w:i/>
          <w:color w:val="000000"/>
          <w:sz w:val="22"/>
        </w:rPr>
        <w:t>Form—subpoena.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14-0035) </w:t>
      </w:r>
      <w:r>
        <w:rPr>
          <w:rFonts w:ascii="Times New Roman" w:hAnsi="Times New Roman"/>
          <w:b w:val="false"/>
          <w:i w:val="false"/>
          <w:color w:val="000000"/>
          <w:sz w:val="22"/>
        </w:rPr>
        <w:t>This form is the witness subpoena, which is used to require a witness to appear and testify, and the Subpoena Duces Tecum, which is used to require a witness to appear and to bring specified books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w:t>
      </w:r>
      <w:r>
        <w:rPr>
          <w:rFonts w:ascii="Times New Roman" w:hAnsi="Times New Roman"/>
          <w:b w:val="false"/>
          <w:i w:val="false"/>
          <w:color w:val="000000"/>
          <w:sz w:val="22"/>
        </w:rPr>
        <w:t> </w:t>
      </w:r>
      <w:r>
        <w:rPr>
          <w:rFonts w:ascii="Times New Roman" w:hAnsi="Times New Roman"/>
          <w:b w:val="false"/>
          <w:i/>
          <w:color w:val="000000"/>
          <w:sz w:val="22"/>
        </w:rPr>
        <w:t>Form—corporate officer exclusion.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14-0061) </w:t>
      </w:r>
      <w:r>
        <w:rPr>
          <w:rFonts w:ascii="Times New Roman" w:hAnsi="Times New Roman"/>
          <w:b w:val="false"/>
          <w:i w:val="false"/>
          <w:color w:val="000000"/>
          <w:sz w:val="22"/>
        </w:rPr>
        <w:t>This form is the corporate officer exclusion which is used for corporate officers to reject workers’ compensation or employers’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w:t>
      </w:r>
      <w:r>
        <w:rPr>
          <w:rFonts w:ascii="Times New Roman" w:hAnsi="Times New Roman"/>
          <w:b w:val="false"/>
          <w:i w:val="false"/>
          <w:color w:val="000000"/>
          <w:sz w:val="22"/>
        </w:rPr>
        <w:t> </w:t>
      </w:r>
      <w:r>
        <w:rPr>
          <w:rFonts w:ascii="Times New Roman" w:hAnsi="Times New Roman"/>
          <w:b w:val="false"/>
          <w:i/>
          <w:color w:val="000000"/>
          <w:sz w:val="22"/>
        </w:rPr>
        <w:t>Form—attorney lien.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14-0039)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Form—application and consent order for payment of benefits.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14-0037) </w:t>
      </w:r>
      <w:r>
        <w:rPr>
          <w:rFonts w:ascii="Times New Roman" w:hAnsi="Times New Roman"/>
          <w:b w:val="false"/>
          <w:i w:val="false"/>
          <w:color w:val="000000"/>
          <w:sz w:val="22"/>
        </w:rPr>
        <w:t xml:space="preserve">This form is the application and consent order for payment of benefits under Iowa Code section </w:t>
      </w:r>
      <w:hyperlink r:id="rId10">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 xml:space="preserve"> which is used by an employer or an insurance carrier to pay weekly and medical benefits without admitting liability and to be able to seek reimbursement from another carrier or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Form—dispute resolution conference report.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14-0041) </w:t>
      </w:r>
      <w:r>
        <w:rPr>
          <w:rFonts w:ascii="Times New Roman" w:hAnsi="Times New Roman"/>
          <w:b w:val="false"/>
          <w:i w:val="false"/>
          <w:color w:val="000000"/>
          <w:sz w:val="22"/>
        </w:rPr>
        <w:t xml:space="preserve">This form is the dispute resolution conference report which is used to provide information for a dispute resolution pursuant to </w:t>
      </w:r>
      <w:hyperlink r:id="rId11">
        <w:r>
          <w:rPr>
            <w:rStyle w:val="Hyperlink"/>
            <w:rFonts w:ascii="Times New Roman" w:hAnsi="Times New Roman"/>
            <w:b w:val="false"/>
            <w:i w:val="false"/>
            <w:color w:val="000000"/>
            <w:sz w:val="22"/>
          </w:rPr>
          <w:t>rule 876—4.40(73GA,ch1261)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3.1(14)</w:t>
      </w:r>
      <w:r>
        <w:rPr>
          <w:rFonts w:ascii="Times New Roman" w:hAnsi="Times New Roman"/>
          <w:b w:val="false"/>
          <w:i w:val="false"/>
          <w:color w:val="000000"/>
          <w:sz w:val="22"/>
        </w:rPr>
        <w:t xml:space="preserve"> to </w:t>
      </w:r>
      <w:r>
        <w:rPr>
          <w:rFonts w:ascii="Times New Roman" w:hAnsi="Times New Roman"/>
          <w:b/>
          <w:i w:val="false"/>
          <w:color w:val="000000"/>
          <w:sz w:val="22"/>
        </w:rPr>
        <w:t>3.1(16)</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w:t>
      </w:r>
      <w:r>
        <w:rPr>
          <w:rFonts w:ascii="Times New Roman" w:hAnsi="Times New Roman"/>
          <w:b w:val="false"/>
          <w:i w:val="false"/>
          <w:color w:val="000000"/>
          <w:sz w:val="22"/>
        </w:rPr>
        <w:t> </w:t>
      </w:r>
      <w:r>
        <w:rPr>
          <w:rFonts w:ascii="Times New Roman" w:hAnsi="Times New Roman"/>
          <w:b w:val="false"/>
          <w:i/>
          <w:color w:val="000000"/>
          <w:sz w:val="22"/>
        </w:rPr>
        <w:t>Form—authorization for release of information regarding claimants seeking workers’ compensation benefits.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14-0043) </w:t>
      </w:r>
      <w:r>
        <w:rPr>
          <w:rFonts w:ascii="Times New Roman" w:hAnsi="Times New Roman"/>
          <w:b w:val="false"/>
          <w:i w:val="false"/>
          <w:color w:val="000000"/>
          <w:sz w:val="22"/>
        </w:rPr>
        <w:t>This form is used for the release of information concerning an employee’s physical or mental condition relative to a workers’ compensation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3.1(18)</w:t>
      </w:r>
      <w:r>
        <w:rPr>
          <w:rFonts w:ascii="Times New Roman" w:hAnsi="Times New Roman"/>
          <w:b w:val="false"/>
          <w:i w:val="false"/>
          <w:color w:val="000000"/>
          <w:sz w:val="22"/>
        </w:rPr>
        <w:t> </w:t>
      </w:r>
      <w:r>
        <w:rPr>
          <w:rFonts w:ascii="Times New Roman" w:hAnsi="Times New Roman"/>
          <w:b w:val="false"/>
          <w:i/>
          <w:color w:val="000000"/>
          <w:sz w:val="22"/>
        </w:rPr>
        <w:t>Form No.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9—original notice and petition for commutation of all remaining benefits of ten weeks or more 876 IAC 6.2(6).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14-0013) </w:t>
      </w:r>
      <w:r>
        <w:rPr>
          <w:rFonts w:ascii="Times New Roman" w:hAnsi="Times New Roman"/>
          <w:b w:val="false"/>
          <w:i w:val="false"/>
          <w:color w:val="000000"/>
          <w:sz w:val="22"/>
        </w:rPr>
        <w:t>This form contains data relevant to benefits paid and those to be paid by commutation when all unaccrued benefits are due. Signatures of the parties are necessary. Approval by the workers’ compensation commissioner or a deputy workers’ compensation commissioner is necessary. The form contains language of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3.1(19)</w:t>
      </w:r>
      <w:r>
        <w:rPr>
          <w:rFonts w:ascii="Times New Roman" w:hAnsi="Times New Roman"/>
          <w:b w:val="false"/>
          <w:i w:val="false"/>
          <w:color w:val="000000"/>
          <w:sz w:val="22"/>
        </w:rPr>
        <w:t> </w:t>
      </w:r>
      <w:r>
        <w:rPr>
          <w:rFonts w:ascii="Times New Roman" w:hAnsi="Times New Roman"/>
          <w:b w:val="false"/>
          <w:i/>
          <w:color w:val="000000"/>
          <w:sz w:val="22"/>
        </w:rPr>
        <w:t>Form No.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9A—original notice and petition for partial commutation. (Form No.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 xml:space="preserve">14-0017) </w:t>
      </w:r>
      <w:r>
        <w:rPr>
          <w:rFonts w:ascii="Times New Roman" w:hAnsi="Times New Roman"/>
          <w:b w:val="false"/>
          <w:i w:val="false"/>
          <w:color w:val="000000"/>
          <w:sz w:val="22"/>
        </w:rPr>
        <w:t>This form contains the same data and requirements as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 However, all remaining benefits are not commuted. No language of release is contained.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3.1(20)</w:t>
      </w:r>
      <w:r>
        <w:rPr>
          <w:rFonts w:ascii="Times New Roman" w:hAnsi="Times New Roman"/>
          <w:b w:val="false"/>
          <w:i w:val="false"/>
          <w:color w:val="000000"/>
          <w:sz w:val="22"/>
        </w:rPr>
        <w:t> </w:t>
      </w:r>
      <w:r>
        <w:rPr>
          <w:rFonts w:ascii="Times New Roman" w:hAnsi="Times New Roman"/>
          <w:b w:val="false"/>
          <w:i/>
          <w:color w:val="000000"/>
          <w:sz w:val="22"/>
        </w:rPr>
        <w:t>Form—prehearing conference report.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14-0049)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Form—agreement for settlement.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14-0021) </w:t>
      </w:r>
      <w:r>
        <w:rPr>
          <w:rFonts w:ascii="Times New Roman" w:hAnsi="Times New Roman"/>
          <w:b w:val="false"/>
          <w:i w:val="false"/>
          <w:color w:val="000000"/>
          <w:sz w:val="22"/>
        </w:rPr>
        <w:t xml:space="preserve">This form is used to file an agreement for settlement pursuant to Iowa Code section </w:t>
      </w:r>
      <w:hyperlink r:id="rId12">
        <w:r>
          <w:rPr>
            <w:rStyle w:val="Hyperlink"/>
            <w:rFonts w:ascii="Times New Roman" w:hAnsi="Times New Roman"/>
            <w:b w:val="false"/>
            <w:i w:val="false"/>
            <w:color w:val="000000"/>
            <w:sz w:val="22"/>
          </w:rPr>
          <w:t>85.35(2)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Form—compromise settlement.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14-0025) </w:t>
      </w:r>
      <w:r>
        <w:rPr>
          <w:rFonts w:ascii="Times New Roman" w:hAnsi="Times New Roman"/>
          <w:b w:val="false"/>
          <w:i w:val="false"/>
          <w:color w:val="000000"/>
          <w:sz w:val="22"/>
        </w:rPr>
        <w:t xml:space="preserve">This form is used to file a compromise settlement pursuant to Iowa Code section </w:t>
      </w:r>
      <w:hyperlink r:id="rId13">
        <w:r>
          <w:rPr>
            <w:rStyle w:val="Hyperlink"/>
            <w:rFonts w:ascii="Times New Roman" w:hAnsi="Times New Roman"/>
            <w:b w:val="false"/>
            <w:i w:val="false"/>
            <w:color w:val="000000"/>
            <w:sz w:val="22"/>
          </w:rPr>
          <w:t>85.35(3)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Form—combination settlement.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14-0159) </w:t>
      </w:r>
      <w:r>
        <w:rPr>
          <w:rFonts w:ascii="Times New Roman" w:hAnsi="Times New Roman"/>
          <w:b w:val="false"/>
          <w:i w:val="false"/>
          <w:color w:val="000000"/>
          <w:sz w:val="22"/>
        </w:rPr>
        <w:t xml:space="preserve">This form is used to file a combination settlement pursuant to Iowa Code section </w:t>
      </w:r>
      <w:hyperlink r:id="rId14">
        <w:r>
          <w:rPr>
            <w:rStyle w:val="Hyperlink"/>
            <w:rFonts w:ascii="Times New Roman" w:hAnsi="Times New Roman"/>
            <w:b w:val="false"/>
            <w:i w:val="false"/>
            <w:color w:val="000000"/>
            <w:sz w:val="22"/>
          </w:rPr>
          <w:t>85.35(4)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color w:val="000000"/>
          <w:sz w:val="22"/>
        </w:rPr>
        <w:t>Form—contingent settlement.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14-0161) </w:t>
      </w:r>
      <w:r>
        <w:rPr>
          <w:rFonts w:ascii="Times New Roman" w:hAnsi="Times New Roman"/>
          <w:b w:val="false"/>
          <w:i w:val="false"/>
          <w:color w:val="000000"/>
          <w:sz w:val="22"/>
        </w:rPr>
        <w:t xml:space="preserve">This form is used to file a contingent settlement pursuant to Iowa Code section </w:t>
      </w:r>
      <w:hyperlink r:id="rId15">
        <w:r>
          <w:rPr>
            <w:rStyle w:val="Hyperlink"/>
            <w:rFonts w:ascii="Times New Roman" w:hAnsi="Times New Roman"/>
            <w:b w:val="false"/>
            <w:i w:val="false"/>
            <w:color w:val="000000"/>
            <w:sz w:val="22"/>
          </w:rPr>
          <w:t>85.35(5)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3.1(25)</w:t>
      </w:r>
      <w:r>
        <w:rPr>
          <w:rFonts w:ascii="Times New Roman" w:hAnsi="Times New Roman"/>
          <w:b w:val="false"/>
          <w:i w:val="false"/>
          <w:color w:val="000000"/>
          <w:sz w:val="22"/>
        </w:rPr>
        <w:t> </w:t>
      </w:r>
      <w:r>
        <w:rPr>
          <w:rFonts w:ascii="Times New Roman" w:hAnsi="Times New Roman"/>
          <w:b w:val="false"/>
          <w:i/>
          <w:color w:val="000000"/>
          <w:sz w:val="22"/>
        </w:rPr>
        <w:t>Form—claimant’s statement.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14-0163) </w:t>
      </w:r>
      <w:r>
        <w:rPr>
          <w:rFonts w:ascii="Times New Roman" w:hAnsi="Times New Roman"/>
          <w:b w:val="false"/>
          <w:i w:val="false"/>
          <w:color w:val="000000"/>
          <w:sz w:val="22"/>
        </w:rPr>
        <w:t>This form is used for any type of settlement when the claimant is not represented by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3.1(26)</w:t>
      </w:r>
      <w:r>
        <w:rPr>
          <w:rFonts w:ascii="Times New Roman" w:hAnsi="Times New Roman"/>
          <w:b w:val="false"/>
          <w:i w:val="false"/>
          <w:color w:val="000000"/>
          <w:sz w:val="22"/>
        </w:rPr>
        <w:t> </w:t>
      </w:r>
      <w:r>
        <w:rPr>
          <w:rFonts w:ascii="Times New Roman" w:hAnsi="Times New Roman"/>
          <w:b w:val="false"/>
          <w:i/>
          <w:color w:val="000000"/>
          <w:sz w:val="22"/>
        </w:rPr>
        <w:t xml:space="preserve">Form—application to defer payment of filing fees, financial affidavit and order. (Form No. 14-0075) </w:t>
      </w:r>
      <w:r>
        <w:rPr>
          <w:rFonts w:ascii="Times New Roman" w:hAnsi="Times New Roman"/>
          <w:b w:val="false"/>
          <w:i w:val="false"/>
          <w:color w:val="000000"/>
          <w:sz w:val="22"/>
        </w:rPr>
        <w:t>This form is used to request a deferral of payment of filing fees. This form is not initially filed through WCES.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3.1(27)</w:t>
      </w:r>
      <w:r>
        <w:rPr>
          <w:rFonts w:ascii="Times New Roman" w:hAnsi="Times New Roman"/>
          <w:b w:val="false"/>
          <w:i w:val="false"/>
          <w:color w:val="000000"/>
          <w:sz w:val="22"/>
        </w:rPr>
        <w:t> </w:t>
      </w:r>
      <w:r>
        <w:rPr>
          <w:rFonts w:ascii="Times New Roman" w:hAnsi="Times New Roman"/>
          <w:b w:val="false"/>
          <w:i/>
          <w:color w:val="000000"/>
          <w:sz w:val="22"/>
        </w:rPr>
        <w:t>Form—nonelection of workers’ compensation or employers’ liability coverage.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14-0175) </w:t>
      </w:r>
      <w:r>
        <w:rPr>
          <w:rFonts w:ascii="Times New Roman" w:hAnsi="Times New Roman"/>
          <w:b w:val="false"/>
          <w:i w:val="false"/>
          <w:color w:val="000000"/>
          <w:sz w:val="22"/>
        </w:rPr>
        <w:t xml:space="preserve">This form is used for exclusion from liability coverage pursuant to Iowa Code section </w:t>
      </w:r>
      <w:hyperlink r:id="rId16">
        <w:r>
          <w:rPr>
            <w:rStyle w:val="Hyperlink"/>
            <w:rFonts w:ascii="Times New Roman" w:hAnsi="Times New Roman"/>
            <w:b w:val="false"/>
            <w:i w:val="false"/>
            <w:color w:val="000000"/>
            <w:sz w:val="22"/>
          </w:rPr>
          <w:t>87.22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3.1(28)</w:t>
      </w:r>
      <w:r>
        <w:rPr>
          <w:rFonts w:ascii="Times New Roman" w:hAnsi="Times New Roman"/>
          <w:b w:val="false"/>
          <w:i w:val="false"/>
          <w:color w:val="000000"/>
          <w:sz w:val="22"/>
        </w:rPr>
        <w:t> </w:t>
      </w:r>
      <w:r>
        <w:rPr>
          <w:rFonts w:ascii="Times New Roman" w:hAnsi="Times New Roman"/>
          <w:b w:val="false"/>
          <w:i/>
          <w:color w:val="000000"/>
          <w:sz w:val="22"/>
        </w:rPr>
        <w:t>Form—shorthand reporter identification form. (Form No.</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14-0178) </w:t>
      </w:r>
      <w:r>
        <w:rPr>
          <w:rFonts w:ascii="Times New Roman" w:hAnsi="Times New Roman"/>
          <w:b w:val="false"/>
          <w:i w:val="false"/>
          <w:color w:val="000000"/>
          <w:sz w:val="22"/>
        </w:rPr>
        <w:t>This form is used to identify the official shorthand reporter and custodian of the notes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3.1(29)</w:t>
      </w:r>
      <w:r>
        <w:rPr>
          <w:rFonts w:ascii="Times New Roman" w:hAnsi="Times New Roman"/>
          <w:b w:val="false"/>
          <w:i w:val="false"/>
          <w:color w:val="000000"/>
          <w:sz w:val="22"/>
        </w:rPr>
        <w:t> </w:t>
      </w:r>
      <w:r>
        <w:rPr>
          <w:rFonts w:ascii="Times New Roman" w:hAnsi="Times New Roman"/>
          <w:b w:val="false"/>
          <w:i/>
          <w:color w:val="000000"/>
          <w:sz w:val="22"/>
        </w:rPr>
        <w:t xml:space="preserve">Form—request for waiver of the mandatory use of WCES. (Form No. 14-0176) </w:t>
      </w:r>
      <w:r>
        <w:rPr>
          <w:rFonts w:ascii="Times New Roman" w:hAnsi="Times New Roman"/>
          <w:b w:val="false"/>
          <w:i w:val="false"/>
          <w:color w:val="000000"/>
          <w:sz w:val="22"/>
        </w:rPr>
        <w:t>This form is used by a self-represented party to request a waiver from those rules requiring filing in WCES and allows a party to file and serve documents in paper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p>
    <w:p>
      <w:pPr>
        <w:spacing w:before="0" w:after="0"/>
        <w:ind w:left="120"/>
        <w:jc w:val="center"/>
      </w:pPr>
      <w:r>
        <w:rPr>
          <w:rFonts w:ascii="Times New Roman" w:hAnsi="Times New Roman"/>
          <w:b w:val="false"/>
          <w:i w:val="false"/>
          <w:color w:val="000000"/>
          <w:sz w:val="21"/>
        </w:rPr>
        <w:t>[Emergency filed and effective 9/19/75—published 10/6/75]</w:t>
      </w:r>
    </w:p>
    <w:p>
      <w:pPr>
        <w:spacing w:before="0" w:after="0"/>
        <w:ind w:left="120"/>
        <w:jc w:val="center"/>
      </w:pPr>
      <w:r>
        <w:rPr>
          <w:rFonts w:ascii="Times New Roman" w:hAnsi="Times New Roman"/>
          <w:b w:val="false"/>
          <w:i w:val="false"/>
          <w:color w:val="000000"/>
          <w:sz w:val="21"/>
        </w:rPr>
        <w:t>[Filed 11/17/75, Notice 10/6/75—published 12/1/75, effective 1/5/76]</w:t>
      </w:r>
    </w:p>
    <w:p>
      <w:pPr>
        <w:spacing w:before="0" w:after="0"/>
        <w:ind w:left="120"/>
        <w:jc w:val="center"/>
      </w:pPr>
      <w:r>
        <w:rPr>
          <w:rFonts w:ascii="Times New Roman" w:hAnsi="Times New Roman"/>
          <w:b w:val="false"/>
          <w:i w:val="false"/>
          <w:color w:val="000000"/>
          <w:sz w:val="21"/>
        </w:rPr>
        <w:t>[Filed emergency 6/25/76—published 7/12/76, effective 7/1/76]</w:t>
      </w:r>
    </w:p>
    <w:p>
      <w:pPr>
        <w:spacing w:before="0" w:after="0"/>
        <w:ind w:left="120"/>
        <w:jc w:val="center"/>
      </w:pPr>
      <w:r>
        <w:rPr>
          <w:rFonts w:ascii="Times New Roman" w:hAnsi="Times New Roman"/>
          <w:b w:val="false"/>
          <w:i w:val="false"/>
          <w:color w:val="000000"/>
          <w:sz w:val="21"/>
        </w:rPr>
        <w:t>[Filed emergency 8/31/79—published 9/19/79, effective 8/31/79]</w:t>
      </w:r>
    </w:p>
    <w:p>
      <w:pPr>
        <w:spacing w:before="0" w:after="0"/>
        <w:ind w:left="120"/>
        <w:jc w:val="center"/>
      </w:pPr>
      <w:r>
        <w:rPr>
          <w:rFonts w:ascii="Times New Roman" w:hAnsi="Times New Roman"/>
          <w:b w:val="false"/>
          <w:i w:val="false"/>
          <w:color w:val="000000"/>
          <w:sz w:val="21"/>
        </w:rPr>
        <w:t>[Filed emergency 8/31/79—published 9/19/79, effective 10/24/79]</w:t>
      </w:r>
    </w:p>
    <w:p>
      <w:pPr>
        <w:spacing w:before="0" w:after="0"/>
        <w:ind w:left="120"/>
        <w:jc w:val="center"/>
      </w:pPr>
      <w:r>
        <w:rPr>
          <w:rFonts w:ascii="Times New Roman" w:hAnsi="Times New Roman"/>
          <w:b w:val="false"/>
          <w:i w:val="false"/>
          <w:color w:val="000000"/>
          <w:sz w:val="21"/>
        </w:rPr>
        <w:t>[Filed emergency 6/18/82—published 7/7/82, effective 7/1/82]</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8/25/86—published 9/10/86, effective 8/25/86]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 xml:space="preserve">[Editorially transferred from [500] to [343], IAC Supp. 9/24/86, see </w:t>
      </w:r>
      <w:r>
        <w:rPr>
          <w:rFonts w:ascii="Times New Roman" w:hAnsi="Times New Roman"/>
          <w:b w:val="false"/>
          <w:i w:val="false"/>
          <w:color w:val="000000"/>
          <w:sz w:val="21"/>
        </w:rPr>
        <w:t>IAB 7/16/86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8/26/94, Notice 7/20/94—published 9/14/94, effective 10/19/94]</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9/4/98, Notice 7/29/98—published 9/23/98, effective 10/28/98]</w:t>
      </w:r>
    </w:p>
    <w:p>
      <w:pPr>
        <w:spacing w:before="0" w:after="0"/>
        <w:ind w:left="120"/>
        <w:jc w:val="center"/>
      </w:pPr>
      <w:r>
        <w:rPr>
          <w:rFonts w:ascii="Times New Roman" w:hAnsi="Times New Roman"/>
          <w:b w:val="false"/>
          <w:i w:val="false"/>
          <w:color w:val="000000"/>
          <w:sz w:val="21"/>
        </w:rPr>
        <w:t>[Filed 2/15/02, Notice 1/9/02—published 3/6/02, effective 4/10/02]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11/4/05, Notice 9/14/05—published 11/23/05, effective 1/1/06]</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ARC 3528C</w:t>
      </w:r>
      <w:r>
        <w:rPr>
          <w:rFonts w:ascii="Times New Roman" w:hAnsi="Times New Roman"/>
          <w:b w:val="false"/>
          <w:i w:val="false"/>
          <w:color w:val="000000"/>
          <w:sz w:val="21"/>
        </w:rPr>
        <w:t xml:space="preserve"> (Notice ARC 3414C,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Emergency After Notice ARC 4568C</w:t>
      </w:r>
      <w:r>
        <w:rPr>
          <w:rFonts w:ascii="Times New Roman" w:hAnsi="Times New Roman"/>
          <w:b w:val="false"/>
          <w:i w:val="false"/>
          <w:color w:val="000000"/>
          <w:sz w:val="21"/>
        </w:rPr>
        <w:t xml:space="preserve"> (Notice ARC 4472C, IAB 6/5/19)</w:t>
      </w:r>
      <w:r>
        <w:rPr>
          <w:rFonts w:ascii="Times New Roman" w:hAnsi="Times New Roman"/>
          <w:b w:val="false"/>
          <w:i w:val="false"/>
          <w:color w:val="000000"/>
          <w:sz w:val="21"/>
        </w:rPr>
        <w:t>, IAB 7/31/19, effective 7/10/19]</w:t>
      </w:r>
    </w:p>
    <w:p>
      <w:pPr>
        <w:spacing w:before="0" w:after="0"/>
        <w:ind w:left="120"/>
        <w:jc w:val="center"/>
      </w:pPr>
      <w:r>
        <w:rPr>
          <w:rFonts w:ascii="Times New Roman" w:hAnsi="Times New Roman"/>
          <w:b w:val="false"/>
          <w:i w:val="false"/>
          <w:color w:val="000000"/>
          <w:sz w:val="21"/>
        </w:rPr>
        <w:t>[Filed ARC 6841C</w:t>
      </w:r>
      <w:r>
        <w:rPr>
          <w:rFonts w:ascii="Times New Roman" w:hAnsi="Times New Roman"/>
          <w:b w:val="false"/>
          <w:i w:val="false"/>
          <w:color w:val="000000"/>
          <w:sz w:val="21"/>
        </w:rPr>
        <w:t xml:space="preserve"> (Notice ARC 6701C, IAB 11/30/22)</w:t>
      </w:r>
      <w:r>
        <w:rPr>
          <w:rFonts w:ascii="Times New Roman" w:hAnsi="Times New Roman"/>
          <w:b w:val="false"/>
          <w:i w:val="false"/>
          <w:color w:val="000000"/>
          <w:sz w:val="21"/>
        </w:rPr>
        <w:t>, IAB 2/8/23, effective 3/15/23]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See IAB Industrial Services, Division of [343]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6.11.pdf" Type="http://schemas.openxmlformats.org/officeDocument/2006/relationships/hyperlink" Id="rId5"/>
    <Relationship TargetMode="External" Target="https://www.legis.iowa.gov/docs/iac/chapter/876.11.pdf" Type="http://schemas.openxmlformats.org/officeDocument/2006/relationships/hyperlink" Id="rId6"/>
    <Relationship TargetMode="External" Target="https://www.legis.iowa.gov/docs/ico/chapter/86.12.pdf" Type="http://schemas.openxmlformats.org/officeDocument/2006/relationships/hyperlink" Id="rId7"/>
    <Relationship TargetMode="External" Target="https://www.legis.iowa.gov/docs/iac/rule/876.6.2.pdf" Type="http://schemas.openxmlformats.org/officeDocument/2006/relationships/hyperlink" Id="rId8"/>
    <Relationship TargetMode="External" Target="https://www.legis.iowa.gov/docs/iac/rule/876.4.6.pdf" Type="http://schemas.openxmlformats.org/officeDocument/2006/relationships/hyperlink" Id="rId9"/>
    <Relationship TargetMode="External" Target="https://www.legis.iowa.gov/docs/ico/chapter/85.21.pdf" Type="http://schemas.openxmlformats.org/officeDocument/2006/relationships/hyperlink" Id="rId10"/>
    <Relationship TargetMode="External" Target="https://www.legis.iowa.gov/docs/iac/rule/876.4.40.pdf" Type="http://schemas.openxmlformats.org/officeDocument/2006/relationships/hyperlink" Id="rId11"/>
    <Relationship TargetMode="External" Target="https://www.legis.iowa.gov/docs/ico/chapter/85.35.pdf" Type="http://schemas.openxmlformats.org/officeDocument/2006/relationships/hyperlink" Id="rId12"/>
    <Relationship TargetMode="External" Target="https://www.legis.iowa.gov/docs/ico/chapter/85.35.pdf" Type="http://schemas.openxmlformats.org/officeDocument/2006/relationships/hyperlink" Id="rId13"/>
    <Relationship TargetMode="External" Target="https://www.legis.iowa.gov/docs/ico/chapter/85.35.pdf" Type="http://schemas.openxmlformats.org/officeDocument/2006/relationships/hyperlink" Id="rId14"/>
    <Relationship TargetMode="External" Target="https://www.legis.iowa.gov/docs/ico/chapter/85.35.pdf" Type="http://schemas.openxmlformats.org/officeDocument/2006/relationships/hyperlink" Id="rId15"/>
    <Relationship TargetMode="External" Target="https://www.legis.iowa.gov/docs/ico/chapter/87.22.pdf" Type="http://schemas.openxmlformats.org/officeDocument/2006/relationships/hyperlink" Id="rId16"/>
    <Relationship TargetMode="External" Target="https://www.legis.iowa.gov/docs/ico/chapter/17A.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