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2506.6(2)</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2506.6(3)</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2506.12(4)</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2506.12(6)</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876—2506.32</w:t>
      </w:r>
      <w:r>
        <w:rPr>
          <w:rFonts w:ascii="Times New Roman" w:hAnsi="Times New Roman"/>
          <w:b/>
          <w:i w:val="false"/>
          <w:color w:val="000000"/>
          <w:sz w:val="22"/>
        </w:rPr>
        <w:t xml:space="preserve">(10A,17A,85)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Contested case proceedings before the workers’ compensation commissioner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val="false"/>
          <w:color w:val="000000"/>
          <w:sz w:val="22"/>
        </w:rPr>
        <w:t xml:space="preserve">Arbitration as described in Iowa Code section </w:t>
      </w:r>
      <w:hyperlink r:id="rId8">
        <w:r>
          <w:rPr>
            <w:rStyle w:val="Hyperlink"/>
            <w:rFonts w:ascii="Times New Roman" w:hAnsi="Times New Roman"/>
            <w:b w:val="false"/>
            <w:i w:val="false"/>
            <w:color w:val="000000"/>
            <w:sz w:val="22"/>
          </w:rPr>
          <w:t>10A.317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Review-reopening of an award or a settlement as described in Iowa Code section </w:t>
      </w:r>
      <w:hyperlink r:id="rId9">
        <w:r>
          <w:rPr>
            <w:rStyle w:val="Hyperlink"/>
            <w:rFonts w:ascii="Times New Roman" w:hAnsi="Times New Roman"/>
            <w:b w:val="false"/>
            <w:i w:val="false"/>
            <w:color w:val="000000"/>
            <w:sz w:val="22"/>
          </w:rPr>
          <w:t>10A.317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as described in Iowa Code section </w:t>
      </w:r>
      <w:hyperlink r:id="rId1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val="false"/>
          <w:color w:val="000000"/>
          <w:sz w:val="22"/>
        </w:rPr>
        <w:t xml:space="preserve">Death and burial benefits as described in Iowa Code sections </w:t>
      </w:r>
      <w:hyperlink r:id="rId11">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85.29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dependency as described in Iowa Code sections </w:t>
      </w:r>
      <w:hyperlink r:id="rId14">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2506.32(6)</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as described in Iowa Code section </w:t>
      </w:r>
      <w:hyperlink r:id="rId16">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2506.32(7)</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as described in Iowa Code section </w:t>
      </w:r>
      <w:hyperlink r:id="rId17">
        <w:r>
          <w:rPr>
            <w:rStyle w:val="Hyperlink"/>
            <w:rFonts w:ascii="Times New Roman" w:hAnsi="Times New Roman"/>
            <w:b w:val="false"/>
            <w:i w:val="false"/>
            <w:color w:val="000000"/>
            <w:sz w:val="22"/>
          </w:rPr>
          <w:t>85.63</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2506.32(8)</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rehabilitation benefits as described in Iowa Code section </w:t>
      </w:r>
      <w:hyperlink r:id="rId18">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2506.32(9)</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training and education as described in Iowa Code section </w:t>
      </w:r>
      <w:hyperlink r:id="rId19">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2506.32(10)</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fees as described in Iowa Code section </w:t>
      </w:r>
      <w:hyperlink r:id="rId20">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Commutation as described in Iowa Code section </w:t>
      </w:r>
      <w:hyperlink r:id="rId21">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2506.32(12)</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as described in Iowa Code section </w:t>
      </w:r>
      <w:hyperlink r:id="rId22">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compliance with Iowa Code chapters </w:t>
      </w:r>
      <w:hyperlink r:id="rId23">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alternate medical care as described in Iowa Code section </w:t>
      </w:r>
      <w:hyperlink r:id="rId28">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liability, reimbursement for benefits paid and recovery of interest as described in Iowa Code section </w:t>
      </w:r>
      <w:hyperlink r:id="rId29">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as described in Iowa Code section </w:t>
      </w:r>
      <w:hyperlink r:id="rId30">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2506.32(17)</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as described in Iowa Code section </w:t>
      </w:r>
      <w:hyperlink r:id="rId31">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approval of third-party settlement as described in Iowa Code section </w:t>
      </w:r>
      <w:hyperlink r:id="rId32">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2506.32(19)</w:t>
      </w:r>
      <w:r>
        <w:rPr>
          <w:rFonts w:ascii="Times New Roman" w:hAnsi="Times New Roman"/>
          <w:b w:val="false"/>
          <w:i w:val="false"/>
          <w:color w:val="000000"/>
          <w:sz w:val="22"/>
        </w:rPr>
        <w:t> </w:t>
      </w:r>
      <w:r>
        <w:rPr>
          <w:rFonts w:ascii="Times New Roman" w:hAnsi="Times New Roman"/>
          <w:b w:val="false"/>
          <w:i w:val="false"/>
          <w:color w:val="000000"/>
          <w:sz w:val="22"/>
        </w:rPr>
        <w:t>Matters that would be a contested case if there were a dispute over the existence of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2506.32(20)</w:t>
      </w:r>
      <w:r>
        <w:rPr>
          <w:rFonts w:ascii="Times New Roman" w:hAnsi="Times New Roman"/>
          <w:b w:val="false"/>
          <w:i w:val="false"/>
          <w:color w:val="000000"/>
          <w:sz w:val="22"/>
        </w:rPr>
        <w:t> </w:t>
      </w:r>
      <w:r>
        <w:rPr>
          <w:rFonts w:ascii="Times New Roman" w:hAnsi="Times New Roman"/>
          <w:b w:val="false"/>
          <w:i w:val="false"/>
          <w:color w:val="000000"/>
          <w:sz w:val="22"/>
        </w:rPr>
        <w:t>Any other issue determinable upon evidential hearing that is under the jurisdiction of the workers’ compensation commissioner.</w:t>
      </w:r>
    </w:p>
    <w:p>
      <w:pPr>
        <w:spacing w:before="0" w:after="0"/>
        <w:ind w:left="120"/>
        <w:jc w:val="both"/>
      </w:pPr>
      <w:r>
        <w:rPr>
          <w:rFonts w:ascii="Times New Roman" w:hAnsi="Times New Roman"/>
          <w:b w:val="false"/>
          <w:i w:val="false"/>
          <w:color w:val="000000"/>
          <w:sz w:val="22"/>
        </w:rPr>
        <w:t xml:space="preserve">There shall be no hearing in contested cases pursuant to subrules </w:t>
      </w:r>
      <w:hyperlink r:id="rId33">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 xml:space="preserve"> through </w:t>
      </w:r>
      <w:hyperlink r:id="rId34">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 xml:space="preserve"> unless otherwise ordered or requested in writing by the petition in the original notice or petition or by the respondent within ten days following the time allowed by these rules for appearance.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and chapter </w:t>
      </w:r>
      <w:hyperlink r:id="rId3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876—2506.33</w:t>
      </w:r>
      <w:r>
        <w:rPr>
          <w:rFonts w:ascii="Times New Roman" w:hAnsi="Times New Roman"/>
          <w:b/>
          <w:i w:val="false"/>
          <w:color w:val="000000"/>
          <w:sz w:val="22"/>
        </w:rPr>
        <w:t xml:space="preserve">(10A) </w:t>
      </w:r>
      <w:r>
        <w:rPr>
          <w:rFonts w:ascii="Times New Roman" w:hAnsi="Times New Roman"/>
          <w:b/>
          <w:i w:val="false"/>
          <w:color w:val="000000"/>
          <w:sz w:val="22"/>
        </w:rPr>
        <w:t xml:space="preserve">Separate evidentiary hearing—denial or delay of benefits. </w:t>
      </w:r>
      <w:r>
        <w:rPr>
          <w:rFonts w:ascii="Times New Roman" w:hAnsi="Times New Roman"/>
          <w:b w:val="false"/>
          <w:i w:val="false"/>
          <w:color w:val="000000"/>
          <w:sz w:val="22"/>
        </w:rPr>
        <w:t xml:space="preserve">Entitlement to penalty benefits for unreasonable delay, denial, or termination of benefits, as provided in Iowa Code section </w:t>
      </w:r>
      <w:hyperlink r:id="rId38">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shall be pled. Discovery shall be limited to matters discoverable in the absence of such pleading unless it is bifurcated. The claimant may bifurcate the denial or delay issue by filing and serving a notice of bifurcation at any time before a case is assigned for hearing, in which case discovery on that issue may proceed only after the final decision of the agency on all other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876—2506.34</w:t>
      </w:r>
      <w:r>
        <w:rPr>
          <w:rFonts w:ascii="Times New Roman" w:hAnsi="Times New Roman"/>
          <w:b/>
          <w:i w:val="false"/>
          <w:color w:val="000000"/>
          <w:sz w:val="22"/>
        </w:rPr>
        <w:t xml:space="preserve">(10A,85,85A,85B,87) </w:t>
      </w:r>
      <w:r>
        <w:rPr>
          <w:rFonts w:ascii="Times New Roman" w:hAnsi="Times New Roman"/>
          <w:b/>
          <w:i w:val="false"/>
          <w:color w:val="000000"/>
          <w:sz w:val="22"/>
        </w:rPr>
        <w:t xml:space="preserve">Compliance proceedings. </w:t>
      </w:r>
      <w:r>
        <w:rPr>
          <w:rFonts w:ascii="Times New Roman" w:hAnsi="Times New Roman"/>
          <w:b w:val="false"/>
          <w:i w:val="false"/>
          <w:color w:val="000000"/>
          <w:sz w:val="22"/>
        </w:rPr>
        <w:t xml:space="preserve">If the workers’ compensation commissioner shall have reason to believe that there has not been compliance with the workers’ compensation law by any person or entity, the workers’ compensation commissioner may on the workers’ compensation commissioner’s own motion give notice to the person or entity and schedule a hearing for the purpose of determining whether there has been compliance by the person or entity. The notice shall state the time and place of the hearing and a brief statement of the matters to be considered. The notice of hearing may be given by ordinary mail or by Workers’ Compensation Electronic System (WCES) if the alleged noncompliant person or entity is registered in WCES and is currently participating in a contested case using WCES and may be given to the insurer for the employer in lieu of the employer as permitted by Iowa Code section </w:t>
      </w:r>
      <w:hyperlink r:id="rId42">
        <w:r>
          <w:rPr>
            <w:rStyle w:val="Hyperlink"/>
            <w:rFonts w:ascii="Times New Roman" w:hAnsi="Times New Roman"/>
            <w:b w:val="false"/>
            <w:i w:val="false"/>
            <w:color w:val="000000"/>
            <w:sz w:val="22"/>
          </w:rPr>
          <w:t>87.10</w:t>
        </w:r>
      </w:hyperlink>
      <w:r>
        <w:rPr>
          <w:rFonts w:ascii="Times New Roman" w:hAnsi="Times New Roman"/>
          <w:b w:val="false"/>
          <w:i w:val="false"/>
          <w:color w:val="000000"/>
          <w:sz w:val="22"/>
        </w:rPr>
        <w:t xml:space="preserve"> if the insurer has filed a report, pleading or motion that acknowledges that it is the insurer for the claim at issue. Following the hearing, the workers’ compensation commissioner or a deputy workers’ compensation commissioner may issue a finding regarding compliance. In the event a failure to comply is found, the workers’ compensation commissioner may impose sanctions in accordance with Iowa Code section </w:t>
      </w:r>
      <w:hyperlink r:id="rId43">
        <w:r>
          <w:rPr>
            <w:rStyle w:val="Hyperlink"/>
            <w:rFonts w:ascii="Times New Roman" w:hAnsi="Times New Roman"/>
            <w:b w:val="false"/>
            <w:i w:val="false"/>
            <w:color w:val="000000"/>
            <w:sz w:val="22"/>
          </w:rPr>
          <w:t>10A.314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10A.316</w:t>
        </w:r>
      </w:hyperlink>
      <w:r>
        <w:rPr>
          <w:rFonts w:ascii="Times New Roman" w:hAnsi="Times New Roman"/>
          <w:b w:val="false"/>
          <w:i w:val="false"/>
          <w:color w:val="000000"/>
          <w:sz w:val="22"/>
        </w:rPr>
        <w:t xml:space="preserve"> or order compliance within a specified time and under specified circumstances. The workers’ compensation commissioner may file a certified copy of the order in an appropriate district court and may file a certified copy of the order with the Iowa insurance division of the department of insurance and financial services with a request for action by the insurance division upon failure to comply with the order. Nothing in this rule shall prevent the workers’ compensation commissioner from conducting an informal conference with any person or entity concerning problems of compliance prior to the initiation of a compliance proceeding.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876—2506.35</w:t>
      </w:r>
      <w:r>
        <w:rPr>
          <w:rFonts w:ascii="Times New Roman" w:hAnsi="Times New Roman"/>
          <w:b/>
          <w:i w:val="false"/>
          <w:color w:val="000000"/>
          <w:sz w:val="22"/>
        </w:rPr>
        <w:t xml:space="preserve">(10A,85,85A,85B,87) </w:t>
      </w:r>
      <w:r>
        <w:rPr>
          <w:rFonts w:ascii="Times New Roman" w:hAnsi="Times New Roman"/>
          <w:b/>
          <w:i w:val="false"/>
          <w:color w:val="000000"/>
          <w:sz w:val="22"/>
        </w:rPr>
        <w:t xml:space="preserve">Commencement by the workers’ compensation commissioner. </w:t>
      </w:r>
      <w:r>
        <w:rPr>
          <w:rFonts w:ascii="Times New Roman" w:hAnsi="Times New Roman"/>
          <w:b w:val="false"/>
          <w:i w:val="false"/>
          <w:color w:val="000000"/>
          <w:sz w:val="22"/>
        </w:rPr>
        <w:t xml:space="preserve">In addition to an aggrieved party, the workers’ compensation commissioner may initiate proceedings under subrule </w:t>
      </w:r>
      <w:hyperlink r:id="rId50">
        <w:r>
          <w:rPr>
            <w:rStyle w:val="Hyperlink"/>
            <w:rFonts w:ascii="Times New Roman" w:hAnsi="Times New Roman"/>
            <w:b w:val="false"/>
            <w:i w:val="false"/>
            <w:color w:val="000000"/>
            <w:sz w:val="22"/>
          </w:rPr>
          <w:t>2506.32(10)</w:t>
        </w:r>
      </w:hyperlink>
      <w:r>
        <w:rPr>
          <w:rFonts w:ascii="Times New Roman" w:hAnsi="Times New Roman"/>
          <w:b w:val="false"/>
          <w:i w:val="false"/>
          <w:color w:val="000000"/>
          <w:sz w:val="22"/>
        </w:rPr>
        <w:t xml:space="preserve">. The proceeding may be held before a deputy workers’ compensation commissioner or the workers’ compensation commissioner. The workers’ compensation commissioner shall be the only person to commence a proceeding under subrule </w:t>
      </w:r>
      <w:hyperlink r:id="rId51">
        <w:r>
          <w:rPr>
            <w:rStyle w:val="Hyperlink"/>
            <w:rFonts w:ascii="Times New Roman" w:hAnsi="Times New Roman"/>
            <w:b w:val="false"/>
            <w:i w:val="false"/>
            <w:color w:val="000000"/>
            <w:sz w:val="22"/>
          </w:rPr>
          <w:t>2506.32(14)</w:t>
        </w:r>
      </w:hyperlink>
      <w:r>
        <w:rPr>
          <w:rFonts w:ascii="Times New Roman" w:hAnsi="Times New Roman"/>
          <w:b w:val="false"/>
          <w:i w:val="false"/>
          <w:color w:val="000000"/>
          <w:sz w:val="22"/>
        </w:rPr>
        <w:t xml:space="preserve"> unless such authority is specifically delegated by the workers’ compensation commissioner to a deputy workers’ compensation commissioner concerning a specific matter.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876—2506.36</w:t>
      </w:r>
      <w:r>
        <w:rPr>
          <w:rFonts w:ascii="Times New Roman" w:hAnsi="Times New Roman"/>
          <w:b/>
          <w:i w:val="false"/>
          <w:color w:val="000000"/>
          <w:sz w:val="22"/>
        </w:rPr>
        <w:t xml:space="preserve">(10A,17A,85) </w:t>
      </w:r>
      <w:r>
        <w:rPr>
          <w:rFonts w:ascii="Times New Roman" w:hAnsi="Times New Roman"/>
          <w:b/>
          <w:i w:val="false"/>
          <w:color w:val="000000"/>
          <w:sz w:val="22"/>
        </w:rPr>
        <w:t xml:space="preserve">Original notice and petition. </w:t>
      </w:r>
      <w:r>
        <w:rPr>
          <w:rFonts w:ascii="Times New Roman" w:hAnsi="Times New Roman"/>
          <w:b w:val="false"/>
          <w:i w:val="false"/>
          <w:color w:val="000000"/>
          <w:sz w:val="22"/>
        </w:rPr>
        <w:t>A petition or application must be delivered or filed with the original notice unless original notice Form 100, Form 100A, Form 100B, or Form 100D of the workers’ compensation division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original notice Form 100, Form 100A, Form 100B, Form 100C, Form 100D, or a determination of liability reimbursement for benefits paid and recovery of interest form shall provide for the data required in Iowa Code section </w:t>
      </w:r>
      <w:hyperlink r:id="rId5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shall contain factors relevant to the contested case proceedings listed in rule </w:t>
      </w:r>
      <w:hyperlink r:id="rId57">
        <w:r>
          <w:rPr>
            <w:rStyle w:val="Hyperlink"/>
            <w:rFonts w:ascii="Times New Roman" w:hAnsi="Times New Roman"/>
            <w:b w:val="false"/>
            <w:i w:val="false"/>
            <w:color w:val="000000"/>
            <w:sz w:val="22"/>
          </w:rPr>
          <w:t>876—2506.32</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100 is to be used for all contested case proceedings except as indicated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100A is to be used for the contested case proceedings provided for in subrule </w:t>
      </w:r>
      <w:hyperlink r:id="rId58">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100B is to be used for the contested case proceeding provided for in subrule </w:t>
      </w:r>
      <w:hyperlink r:id="rId59">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100C is to be used for the contested case proceeding provided for in rules </w:t>
      </w:r>
      <w:hyperlink r:id="rId60">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 xml:space="preserve">(10A) and </w:t>
      </w:r>
      <w:hyperlink r:id="rId61">
        <w:r>
          <w:rPr>
            <w:rStyle w:val="Hyperlink"/>
            <w:rFonts w:ascii="Times New Roman" w:hAnsi="Times New Roman"/>
            <w:b w:val="false"/>
            <w:i w:val="false"/>
            <w:color w:val="000000"/>
            <w:sz w:val="22"/>
          </w:rPr>
          <w:t>876—2506.65</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Form 100D is to be used for the contested case proceeding provided for in rule </w:t>
      </w:r>
      <w:hyperlink r:id="rId62">
        <w:r>
          <w:rPr>
            <w:rStyle w:val="Hyperlink"/>
            <w:rFonts w:ascii="Times New Roman" w:hAnsi="Times New Roman"/>
            <w:b w:val="false"/>
            <w:i w:val="false"/>
            <w:color w:val="000000"/>
            <w:sz w:val="22"/>
          </w:rPr>
          <w:t>876—2506.67</w:t>
        </w:r>
      </w:hyperlink>
      <w:r>
        <w:rPr>
          <w:rFonts w:ascii="Times New Roman" w:hAnsi="Times New Roman"/>
          <w:b w:val="false"/>
          <w:i w:val="false"/>
          <w:color w:val="000000"/>
          <w:sz w:val="22"/>
        </w:rPr>
        <w:t>(10A,17A,85).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consent order for payment of benefits under Iowa Code section </w:t>
      </w:r>
      <w:hyperlink r:id="rId63">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xml:space="preserve"> is to be used for contested case proceedings brought under Iowa Code section </w:t>
      </w:r>
      <w:hyperlink r:id="rId64">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commutation is sought, Form No. 14-0013 or Form No. 14-0017 must be filed in addition to any other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for declaratory order, approval of attorney fees, determination of compliance and other proceedings not covered in the original notice forms must accompany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2506.36(2)</w:t>
      </w:r>
      <w:r>
        <w:rPr>
          <w:rFonts w:ascii="Times New Roman" w:hAnsi="Times New Roman"/>
          <w:b w:val="false"/>
          <w:i w:val="false"/>
          <w:color w:val="000000"/>
          <w:sz w:val="22"/>
        </w:rPr>
        <w:t> </w:t>
      </w:r>
      <w:r>
        <w:rPr>
          <w:rFonts w:ascii="Times New Roman" w:hAnsi="Times New Roman"/>
          <w:b w:val="false"/>
          <w:i w:val="false"/>
          <w:color w:val="000000"/>
          <w:sz w:val="22"/>
        </w:rPr>
        <w:t>At the same time and in the same manner as service of the original notice and petition, the claimant shall serve a patient’s waiver using Form 14-0043 (authorization for release of information regarding claimants seeking workers’ compensation benefits), or a substantially equivalent form, which shall not be revoked until conclusion of the contested case. The claimant shall provide the patient’s waivers in other forms and update the patient’s waivers as necessary to permit full disclosure of discoverable information whenever requested by a medical practitioner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2506.36(3)</w:t>
      </w:r>
      <w:r>
        <w:rPr>
          <w:rFonts w:ascii="Times New Roman" w:hAnsi="Times New Roman"/>
          <w:b w:val="false"/>
          <w:i w:val="false"/>
          <w:color w:val="000000"/>
          <w:sz w:val="22"/>
        </w:rPr>
        <w:t> </w:t>
      </w:r>
      <w:r>
        <w:rPr>
          <w:rFonts w:ascii="Times New Roman" w:hAnsi="Times New Roman"/>
          <w:b w:val="false"/>
          <w:i w:val="false"/>
          <w:color w:val="000000"/>
          <w:sz w:val="22"/>
        </w:rPr>
        <w:t>A separate original notice and petition shall be filed for each claim that seeks benefits due to the occurrence of an injury, occupational disease or occupational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notice and petition shall allege a specific date of occurrence consisting of a day, month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multiple dates of occurrence may be alleged in the same original notice and petition if the claim or claims arose from the same occurrence or series of occurrences and uncertainty exists concerning the correct date of occurrence or the number of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may join any number of employers or insurance carriers in the same original notice and petition if the claim is made against them jointly, severally or in the alternative. The remedy for misjoinder must be requested by motion within a reasonable time after the grounds become known, but in no event later than the claimant’s case preparation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remedies will be applied without prejudice to any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remedies contained in Iowa </w:t>
      </w:r>
      <w:r>
        <w:rPr>
          <w:rFonts w:ascii="Times New Roman" w:hAnsi="Times New Roman"/>
          <w:b w:val="false"/>
          <w:i w:val="false"/>
          <w:color w:val="000000"/>
          <w:sz w:val="22"/>
        </w:rPr>
        <w:t>Rule of Civil Procedure 1.236</w:t>
      </w:r>
      <w:r>
        <w:rPr>
          <w:rFonts w:ascii="Times New Roman" w:hAnsi="Times New Roman"/>
          <w:b w:val="false"/>
          <w:i w:val="false"/>
          <w:color w:val="000000"/>
          <w:sz w:val="22"/>
        </w:rPr>
        <w:t>, the workers’ compensation commissioner may order that parts of a claim be severed and proceeded with separately or that separate related claims be joined or consolidated for administrative convenience or for any good cause. If a correction is ordered but not made by a date specified in the order, the original notice and petition may be dismissed without further notice. If the correction is made within the specified time, the correction relates back to the date of the initial filing for purposes of the statute of limitations.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sections </w:t>
      </w:r>
      <w:hyperlink r:id="rId6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876—2506.37</w:t>
      </w:r>
      <w:r>
        <w:rPr>
          <w:rFonts w:ascii="Times New Roman" w:hAnsi="Times New Roman"/>
          <w:b/>
          <w:i w:val="false"/>
          <w:color w:val="000000"/>
          <w:sz w:val="22"/>
        </w:rPr>
        <w:t xml:space="preserve">(17A,85) </w:t>
      </w:r>
      <w:r>
        <w:rPr>
          <w:rFonts w:ascii="Times New Roman" w:hAnsi="Times New Roman"/>
          <w:b/>
          <w:i w:val="false"/>
          <w:color w:val="000000"/>
          <w:sz w:val="22"/>
        </w:rPr>
        <w:t xml:space="preserve">Delivery of notice, orders, rulings and decisions. </w:t>
      </w:r>
      <w:r>
        <w:rPr>
          <w:rFonts w:ascii="Times New Roman" w:hAnsi="Times New Roman"/>
          <w:b w:val="false"/>
          <w:i w:val="false"/>
          <w:color w:val="000000"/>
          <w:sz w:val="22"/>
        </w:rPr>
        <w:t xml:space="preserve">Delivery of the original notice shall be made by the petitioning party as provided in Iowa Code section </w:t>
      </w:r>
      <w:hyperlink r:id="rId70">
        <w:r>
          <w:rPr>
            <w:rStyle w:val="Hyperlink"/>
            <w:rFonts w:ascii="Times New Roman" w:hAnsi="Times New Roman"/>
            <w:b w:val="false"/>
            <w:i w:val="false"/>
            <w:color w:val="000000"/>
            <w:sz w:val="22"/>
          </w:rPr>
          <w:t>17A.12(1)</w:t>
        </w:r>
      </w:hyperlink>
      <w:r>
        <w:rPr>
          <w:rFonts w:ascii="Times New Roman" w:hAnsi="Times New Roman"/>
          <w:b w:val="false"/>
          <w:i w:val="false"/>
          <w:color w:val="000000"/>
          <w:sz w:val="22"/>
        </w:rPr>
        <w:t xml:space="preserve">, except that a party may deliver the original notice on a nonresident employer as provided in Iowa Code section </w:t>
      </w:r>
      <w:hyperlink r:id="rId71">
        <w:r>
          <w:rPr>
            <w:rStyle w:val="Hyperlink"/>
            <w:rFonts w:ascii="Times New Roman" w:hAnsi="Times New Roman"/>
            <w:b w:val="false"/>
            <w:i w:val="false"/>
            <w:color w:val="000000"/>
            <w:sz w:val="22"/>
          </w:rPr>
          <w:t>85.3</w:t>
        </w:r>
      </w:hyperlink>
      <w:r>
        <w:rPr>
          <w:rFonts w:ascii="Times New Roman" w:hAnsi="Times New Roman"/>
          <w:b w:val="false"/>
          <w:i w:val="false"/>
          <w:color w:val="000000"/>
          <w:sz w:val="22"/>
        </w:rPr>
        <w:t>. A proposed or final decision, order or ruling may be delivered by the workers’ compensation division to any party by regular mail, by email or by WCES. Filing of a notice, ruling and decision in WCES is the official filing and start of any appeal or motion deadline.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85.3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876—2506.38</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2506.38(1)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contested case is commenced by filing the original notice and petition with the workers’ compensation commissioner. No action shall be taken by the workers’ compensation commissioner on any contested case against an adverse party unless the adverse party has answered or unless it can be shown by proper proof that the adverse party has been properly served. The original notice and petition if required by rule </w:t>
      </w:r>
      <w:hyperlink r:id="rId74">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(10A,17A,85) shall be accompanied by proof that the petitioner has deposited copies of such documents with the U.S. post office for delivery by certified mail, return receipt requested, upon the respondent or has submitted such copies to a proper person for delivery of personal service as in civil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2506.38(2)</w:t>
      </w:r>
      <w:r>
        <w:rPr>
          <w:rFonts w:ascii="Times New Roman" w:hAnsi="Times New Roman"/>
          <w:b w:val="false"/>
          <w:i w:val="false"/>
          <w:color w:val="000000"/>
          <w:sz w:val="22"/>
        </w:rPr>
        <w:t> </w:t>
      </w:r>
      <w:r>
        <w:rPr>
          <w:rFonts w:ascii="Times New Roman" w:hAnsi="Times New Roman"/>
          <w:b w:val="false"/>
          <w:i w:val="false"/>
          <w:color w:val="000000"/>
          <w:sz w:val="22"/>
        </w:rPr>
        <w:t>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all original notices and petitions for arbitration or review-reopening relating to weekly benefits filed on account of each injury, occupational disease or occupational hearing loss alleged, a filing fee shall be paid at the time of filing. The filing fee for petitions is $125. No filing fee is due for the filing of other actions where the sole relief sought is one of the following or a combination of any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other benefits under Iowa Code section </w:t>
      </w:r>
      <w:hyperlink r:id="rId7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Burial benefits under Iowa Code section </w:t>
      </w:r>
      <w:hyperlink r:id="rId76">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dependency under Iowa Code sections </w:t>
      </w:r>
      <w:hyperlink r:id="rId77">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through </w:t>
      </w:r>
      <w:hyperlink r:id="rId78">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under Iowa Code section </w:t>
      </w:r>
      <w:hyperlink r:id="rId79">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under Iowa Code sections </w:t>
      </w:r>
      <w:hyperlink r:id="rId80">
        <w:r>
          <w:rPr>
            <w:rStyle w:val="Hyperlink"/>
            <w:rFonts w:ascii="Times New Roman" w:hAnsi="Times New Roman"/>
            <w:b w:val="false"/>
            <w:i w:val="false"/>
            <w:color w:val="000000"/>
            <w:sz w:val="22"/>
          </w:rPr>
          <w:t>85.63</w:t>
        </w:r>
      </w:hyperlink>
      <w:r>
        <w:rPr>
          <w:rFonts w:ascii="Times New Roman" w:hAnsi="Times New Roman"/>
          <w:b w:val="false"/>
          <w:i w:val="false"/>
          <w:color w:val="000000"/>
          <w:sz w:val="22"/>
        </w:rPr>
        <w:t xml:space="preserve"> through </w:t>
      </w:r>
      <w:hyperlink r:id="rId81">
        <w:r>
          <w:rPr>
            <w:rStyle w:val="Hyperlink"/>
            <w:rFonts w:ascii="Times New Roman" w:hAnsi="Times New Roman"/>
            <w:b w:val="false"/>
            <w:i w:val="false"/>
            <w:color w:val="000000"/>
            <w:sz w:val="22"/>
          </w:rPr>
          <w:t>85.69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rehabilitation benefits under Iowa Code section </w:t>
      </w:r>
      <w:hyperlink r:id="rId82">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training and education benefits under Iowa Code section </w:t>
      </w:r>
      <w:hyperlink r:id="rId83">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legal, medical and other fees under Iowa Code section </w:t>
      </w:r>
      <w:hyperlink r:id="rId84">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Commutation under Iowa Code sections </w:t>
      </w:r>
      <w:hyperlink r:id="rId85">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85.47</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under Iowa Code section </w:t>
      </w:r>
      <w:hyperlink r:id="rId8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or sanctions under Iowa Code section </w:t>
      </w:r>
      <w:hyperlink r:id="rId89">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alternate care under Iowa Code section </w:t>
      </w:r>
      <w:hyperlink r:id="rId9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liability, reimbursement for benefits paid and recovery of interest under Iowa Code section </w:t>
      </w:r>
      <w:hyperlink r:id="rId91">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under Iowa Code section </w:t>
      </w:r>
      <w:hyperlink r:id="rId92">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under Iowa Code section </w:t>
      </w:r>
      <w:hyperlink r:id="rId93">
        <w:r>
          <w:rPr>
            <w:rStyle w:val="Hyperlink"/>
            <w:rFonts w:ascii="Times New Roman" w:hAnsi="Times New Roman"/>
            <w:b w:val="false"/>
            <w:i w:val="false"/>
            <w:color w:val="000000"/>
            <w:sz w:val="22"/>
          </w:rPr>
          <w:t>10A.315(4)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approval of third-party settlement under Iowa Code section </w:t>
      </w:r>
      <w:hyperlink r:id="rId94">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Petitions for declaratory orders or petitions for interventions. An amendment to a petition that alleges an additional or alternate date of occurrence does not require payment of an additional filing fee if a filing fee was paid when the petition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filing fee shall be required for each original notice and petition filed as required in paragraph </w:t>
      </w:r>
      <w:hyperlink r:id="rId95">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party overpays a filing fee, the party may receive a refund. The party who made the overpayment must request a refund before June 1 of the fiscal year in which the overpayment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filing fee is paid at the time of filing of the original notice and petition, the workers’ compensation commissioner shall return the original notice and petition to the party filing it. Filing an original notice and petition without paying the fee shall not toll the statute of limitations. Tendering an amount less than required will be considered failure to pay a 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may be taxed as a cost to the losing party in the case. If the filing fee would impose an undue hardship or be unjust in the circumstances for the losing party, the filing fee may be taxed as costs to the winning party in the case. More information can be found in rule </w:t>
      </w:r>
      <w:hyperlink r:id="rId96">
        <w:r>
          <w:rPr>
            <w:rStyle w:val="Hyperlink"/>
            <w:rFonts w:ascii="Times New Roman" w:hAnsi="Times New Roman"/>
            <w:b w:val="false"/>
            <w:i w:val="false"/>
            <w:color w:val="000000"/>
            <w:sz w:val="22"/>
          </w:rPr>
          <w:t>876—2506.59</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be paid at the same time the petition is filed. The filing fee shall be paid electronically with a credit card, via automated clearing house (ACH), or by other electronic means as allowed by WCES unless an order granting permission for nonelectronic payment has been issued. If an order granting permission for nonelectronic payment has been issued, the party filing the petition shall issue a check payable to the “Iowa Workers’ Compensation Division.” If the payment of the filing fee is made by an account with insufficient funds or the payment is stopped or the payment is otherwise not honored, it will be treated as a failure to pay the correct filing fee. More information can be found in paragraph </w:t>
      </w:r>
      <w:hyperlink r:id="rId97">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“c.”</w:t>
      </w:r>
      <w:r>
        <w:rPr>
          <w:rFonts w:ascii="Times New Roman" w:hAnsi="Times New Roman"/>
          <w:b w:val="false"/>
          <w:i w:val="false"/>
          <w:color w:val="000000"/>
          <w:sz w:val="22"/>
        </w:rPr>
        <w:t xml:space="preserve"> Nonelectronic payment will not be accepted without an order granting permission for nonelectronic payment. The statute of limitations is not tolled if a party has requested nonelectronic payment and is awaiting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may accept for filing an original notice and petition without prepayment of the filing fee if in the discretion of the workers’ compensation commissioner the petitioner is unable to pay the fee at the time of filing. A deferral of payment of the filing fee shall only be granted upon written application by the petitioner. The application shall be filed at the same time the original notice and petition is filed. The application shall be in the form required by the workers’ compensation commissioner and shall include an affidavit signed by the petitioner. When payment of the filing fee is deferred, provisions for payment of the filing fee must be included in any settlement submitted to the workers’ compensation commissioner for approval or taxed as costs. When the application for deferral of payment of the filing fee is denied, the filing fee shall be paid as ordered. More information can be found in paragraph </w:t>
      </w:r>
      <w:hyperlink r:id="rId98">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form for the application deferral of prepayment of fees (Form No. 14-0075) shall not be filed using WCES. The document shall be filed in paper form. If the request for deferral of fees is granted, a claim will be established in WCES. Parties to the claim shall use WCES for future filings unless a party has been granted a waiver of the mandatory use of WCES.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shall use the payment gateway in WCES to pay filing fees unless an order has been issued allowing deferral of the payment of the filing fee or payment outside of WCES. In addition to the filing fee, the parties shall pay the convenience fee charged by the financial institution that is processing payment for WCES. This cost may be recoverable under rule </w:t>
      </w:r>
      <w:hyperlink r:id="rId99">
        <w:r>
          <w:rPr>
            <w:rStyle w:val="Hyperlink"/>
            <w:rFonts w:ascii="Times New Roman" w:hAnsi="Times New Roman"/>
            <w:b w:val="false"/>
            <w:i w:val="false"/>
            <w:color w:val="000000"/>
            <w:sz w:val="22"/>
          </w:rPr>
          <w:t>876—2506.59</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876—2506.39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and responses, pleadings, motions and settlements. </w:t>
      </w:r>
      <w:r>
        <w:rPr>
          <w:rFonts w:ascii="Times New Roman" w:hAnsi="Times New Roman"/>
          <w:b w:val="false"/>
          <w:i w:val="false"/>
          <w:color w:val="000000"/>
          <w:sz w:val="22"/>
        </w:rPr>
        <w:t xml:space="preserve">Appearances and responses to pleadings and motions shall be made in WCES. Registration with the division of workers’ compensation’s WCES is required. Registration is accepted at </w:t>
      </w:r>
      <w:hyperlink r:id="rId101">
        <w:r>
          <w:rPr>
            <w:rStyle w:val="Hyperlink"/>
            <w:rFonts w:ascii="Times New Roman" w:hAnsi="Times New Roman"/>
            <w:b w:val="false"/>
            <w:i w:val="false"/>
            <w:color w:val="000000"/>
            <w:sz w:val="22"/>
            <w:u w:val="single"/>
          </w:rPr>
          <w:t>efile.iowaworkcomp.gov</w:t>
        </w:r>
      </w:hyperlink>
      <w:r>
        <w:rPr>
          <w:rFonts w:ascii="Times New Roman" w:hAnsi="Times New Roman"/>
          <w:b w:val="false"/>
          <w:i w:val="false"/>
          <w:color w:val="000000"/>
          <w:sz w:val="22"/>
        </w:rPr>
        <w:t xml:space="preserve">. After a matter has been commenced and the respondent has been served with an original notice and filed an answer or appearance, subsequent filings or submissions in WCES do not require proof of service to parties of record who are registered with WCES. If a party has been granted a waiver of the mandatory use of WCES, the party shall include a proof of service for all parties of record. Attorneys will need to use the AT pin or pro hac vice pin assigned by the Iowa Supreme Court to be associated with a case in WCES. When an attorney is not representing a party, the employer or insurance carrier or the employer’s or insurance carrier’s agent or claimant shall register in WCES to file the settlement or medical data pursuant to </w:t>
      </w:r>
      <w:hyperlink r:id="rId102">
        <w:r>
          <w:rPr>
            <w:rStyle w:val="Hyperlink"/>
            <w:rFonts w:ascii="Times New Roman" w:hAnsi="Times New Roman"/>
            <w:b w:val="false"/>
            <w:i w:val="false"/>
            <w:color w:val="000000"/>
            <w:sz w:val="22"/>
          </w:rPr>
          <w:t>876—subrule 3.1(2)</w:t>
        </w:r>
      </w:hyperlink>
      <w:r>
        <w:rPr>
          <w:rFonts w:ascii="Times New Roman" w:hAnsi="Times New Roman"/>
          <w:b w:val="false"/>
          <w:i w:val="false"/>
          <w:color w:val="000000"/>
          <w:sz w:val="22"/>
        </w:rPr>
        <w:t>. The filer will receive a status update for the information the filer submits based upon the status the filer selects when registering in WCES.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2506.39(1)</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Motions attacking a pleading must be served before responding to a pleading or, if no responsive pleading is required, upon motion made by a party within 20 days after the service of the pleading on such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2506.39(2)</w:t>
      </w:r>
      <w:r>
        <w:rPr>
          <w:rFonts w:ascii="Times New Roman" w:hAnsi="Times New Roman"/>
          <w:b w:val="false"/>
          <w:i w:val="false"/>
          <w:color w:val="000000"/>
          <w:sz w:val="22"/>
        </w:rPr>
        <w:t> </w:t>
      </w:r>
      <w:r>
        <w:rPr>
          <w:rFonts w:ascii="Times New Roman" w:hAnsi="Times New Roman"/>
          <w:b w:val="false"/>
          <w:i/>
          <w:color w:val="000000"/>
          <w:sz w:val="22"/>
        </w:rPr>
        <w:t xml:space="preserve">Time after motions attacking pleadings and special appearances. </w:t>
      </w:r>
      <w:r>
        <w:rPr>
          <w:rFonts w:ascii="Times New Roman" w:hAnsi="Times New Roman"/>
          <w:b w:val="false"/>
          <w:i w:val="false"/>
          <w:color w:val="000000"/>
          <w:sz w:val="22"/>
        </w:rPr>
        <w:t>If a motion attacking a pleading is so disposed of as to require further pleading, such further pleading shall be served within ten days after notice of the action of the workers’ compensation commissioner or deputy workers’ compensation commissioner. If the further pleading requires a response, the response shall be filed within ten days after service of the further pleading.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2506.39(3)</w:t>
      </w:r>
      <w:r>
        <w:rPr>
          <w:rFonts w:ascii="Times New Roman" w:hAnsi="Times New Roman"/>
          <w:b w:val="false"/>
          <w:i w:val="false"/>
          <w:color w:val="000000"/>
          <w:sz w:val="22"/>
        </w:rPr>
        <w:t> </w:t>
      </w:r>
      <w:r>
        <w:rPr>
          <w:rFonts w:ascii="Times New Roman" w:hAnsi="Times New Roman"/>
          <w:b w:val="false"/>
          <w:i/>
          <w:color w:val="000000"/>
          <w:sz w:val="22"/>
        </w:rPr>
        <w:t xml:space="preserve">Form, submission and ruling on 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motions, including pre-answer motions and motions for summary judgment, shall have appended to them a concise memorandum brief and argument. All motions except motions for summary judgment shall be deemed submitted without hearing on the record presented on the tenth day following filing. Motions for summary judgment shall be deemed submitted as provided in Iowa </w:t>
      </w:r>
      <w:r>
        <w:rPr>
          <w:rFonts w:ascii="Times New Roman" w:hAnsi="Times New Roman"/>
          <w:b w:val="false"/>
          <w:i w:val="false"/>
          <w:color w:val="000000"/>
          <w:sz w:val="22"/>
        </w:rPr>
        <w:t>Rule of Civil Procedure 1.981</w:t>
      </w:r>
      <w:r>
        <w:rPr>
          <w:rFonts w:ascii="Times New Roman" w:hAnsi="Times New Roman"/>
          <w:b w:val="false"/>
          <w:i w:val="false"/>
          <w:color w:val="000000"/>
          <w:sz w:val="22"/>
        </w:rPr>
        <w:t>. Resistances to motions shall have appended to them a concise memorandum brief and argument and shall be filed on or before the date of submission. Briefs and arguments are waived unless appended to the motion or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order may be entered consolidating any motion for ruling with the hearing of the contested case. Any party desiring a ruling on a motion prior to the hearing may concisely set forth the necessity of prior ruling in the motion, application or resistance. If a pre-answer motion alleging lack of jurisdiction is overruled or consolidated with hearing of the contested case, the party shall plead to the merits and proceed to hearing of the contested case without submitting to the jurisdiction of the workers’ compensation commissioner. If a motion attacking a pleading is consolidated with hearing of the contested case, the party shall respond to the pleading in the same manner as if the motion had been overruled.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2506.39(4)</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counsel.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Counsel may withdraw if another counsel has appeared or if the client’s written consent accompanies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all other circumstances, counsel may withdraw only upon the order of the workers’ compensation commissioner after making written application. Counsel shall give the client written notice that the client has the right to object to the withdrawal by filing written objections and a request for a hearing to the Workers’ Compensation Division, 6200 Park Avenue, Suite 100, Des Moines, Iowa 50321, within ten days following the date the notice was mailed or personally delivered to the client. The client’s response does not need to be filed in WCES but may be mailed or delivered to the division. Counsel’s application shall be accompanied by proof that a copy of the application and notice was sent by certified mail addressed to the client’s last-known address or was delivered to the client personally. If no objections are timely filed, the withdrawal will become effective when approved by the workers’ compensation commissioner. If objections are timely filed, a hearing on the application will be held. No withdrawal under this subrule will be effective without the approval of the workers’ compensation commissioner. The filing of an application to withdraw stays all pending matters until a ruling is made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2506.39(5)</w:t>
      </w:r>
      <w:r>
        <w:rPr>
          <w:rFonts w:ascii="Times New Roman" w:hAnsi="Times New Roman"/>
          <w:b w:val="false"/>
          <w:i w:val="false"/>
          <w:color w:val="000000"/>
          <w:sz w:val="22"/>
        </w:rPr>
        <w:t> </w:t>
      </w:r>
      <w:r>
        <w:rPr>
          <w:rFonts w:ascii="Times New Roman" w:hAnsi="Times New Roman"/>
          <w:b w:val="false"/>
          <w:i/>
          <w:color w:val="000000"/>
          <w:sz w:val="22"/>
        </w:rPr>
        <w:t xml:space="preserve">Pro hac vice. </w:t>
      </w:r>
      <w:r>
        <w:rPr>
          <w:rFonts w:ascii="Times New Roman" w:hAnsi="Times New Roman"/>
          <w:b w:val="false"/>
          <w:i w:val="false"/>
          <w:color w:val="000000"/>
          <w:sz w:val="22"/>
        </w:rPr>
        <w:t xml:space="preserve">An out-of-state attorney desiring to appear pro hac vice in an Iowa workers’ compensation division case is required to access the office of professional regulation (OPR)/supreme court commissions (SCC) website, submit certain personal information to complete pertinent fields in the lawyer database, and pay a fee that will be deposited in the client security trust fund. The registration and fee payment allow the attorney to apply to appear pro hac vice in Iowa division of workers’ compensation cases, subject to the limits and requirements of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for a period of up to five years from the date of registration. Attorneys who register and pay the fee appear in the OPR/SCC database with the status of “pro hac vice.” The Iowa division of workers’ compensation will request from the Iowa courts that a pro hac vice number be issued and will provide that number to the out-of-state attorney for registration with WCES. The affiliated in-state attorney shall file in WCES the application to appear pro hac vice completed by the out-of-state attorney using a pleading that is substantially similar to </w:t>
      </w:r>
      <w:r>
        <w:rPr>
          <w:rFonts w:ascii="Times New Roman" w:hAnsi="Times New Roman"/>
          <w:b w:val="false"/>
          <w:i w:val="false"/>
          <w:color w:val="000000"/>
          <w:sz w:val="22"/>
        </w:rPr>
        <w:t>Iowa Court Rule 31.25</w:t>
      </w:r>
      <w:r>
        <w:rPr>
          <w:rFonts w:ascii="Times New Roman" w:hAnsi="Times New Roman"/>
          <w:b w:val="false"/>
          <w:i w:val="false"/>
          <w:color w:val="000000"/>
          <w:sz w:val="22"/>
        </w:rPr>
        <w:t>—Form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876—2506.40</w:t>
      </w:r>
      <w:r>
        <w:rPr>
          <w:rFonts w:ascii="Times New Roman" w:hAnsi="Times New Roman"/>
          <w:b/>
          <w:i w:val="false"/>
          <w:color w:val="000000"/>
          <w:sz w:val="22"/>
        </w:rPr>
        <w:t xml:space="preserve">(10A,87) </w:t>
      </w:r>
      <w:r>
        <w:rPr>
          <w:rFonts w:ascii="Times New Roman" w:hAnsi="Times New Roman"/>
          <w:b/>
          <w:i w:val="false"/>
          <w:color w:val="000000"/>
          <w:sz w:val="22"/>
        </w:rPr>
        <w:t xml:space="preserve">Insurance carrier as a party. </w:t>
      </w:r>
      <w:r>
        <w:rPr>
          <w:rFonts w:ascii="Times New Roman" w:hAnsi="Times New Roman"/>
          <w:b w:val="false"/>
          <w:i w:val="false"/>
          <w:color w:val="000000"/>
          <w:sz w:val="22"/>
        </w:rPr>
        <w:t>Whenever any insurance carrier shall issue a policy with a clause in substance providing that jurisdiction of the employer is jurisdiction of the insurance carrier, the insurance carrier shall be deemed a party in any action against the insured.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section </w:t>
      </w:r>
      <w:hyperlink r:id="rId105">
        <w:r>
          <w:rPr>
            <w:rStyle w:val="Hyperlink"/>
            <w:rFonts w:ascii="Times New Roman" w:hAnsi="Times New Roman"/>
            <w:b w:val="false"/>
            <w:i w:val="false"/>
            <w:color w:val="000000"/>
            <w:sz w:val="22"/>
          </w:rPr>
          <w:t>87.10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876—2506.41</w:t>
      </w:r>
      <w:r>
        <w:rPr>
          <w:rFonts w:ascii="Times New Roman" w:hAnsi="Times New Roman"/>
          <w:b/>
          <w:i w:val="false"/>
          <w:color w:val="000000"/>
          <w:sz w:val="22"/>
        </w:rPr>
        <w:t xml:space="preserve">(17A) </w:t>
      </w:r>
      <w:r>
        <w:rPr>
          <w:rFonts w:ascii="Times New Roman" w:hAnsi="Times New Roman"/>
          <w:b/>
          <w:i w:val="false"/>
          <w:color w:val="000000"/>
          <w:sz w:val="22"/>
        </w:rPr>
        <w:t xml:space="preserve">Signatures on documents and papers. </w:t>
      </w:r>
      <w:r>
        <w:rPr>
          <w:rFonts w:ascii="Times New Roman" w:hAnsi="Times New Roman"/>
          <w:b w:val="false"/>
          <w:i w:val="false"/>
          <w:color w:val="000000"/>
          <w:sz w:val="22"/>
        </w:rPr>
        <w:t>All documents and papers required by these rules, the Iowa Rules of Civil Procedure as applicable, or a statutory provision shall be signed by the party if unrepresented or the party’s attorney if represented. The party’s signature in addition to the attorney’s signature shall be necessary only when otherwise required by these rules, the Iowa Rules of Civil Procedure as applicable, and any statutory provision. Iowa R. Elec. P. 16.305 concerning signatures is applicable to WCES.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876—2506.42</w:t>
      </w:r>
      <w:r>
        <w:rPr>
          <w:rFonts w:ascii="Times New Roman" w:hAnsi="Times New Roman"/>
          <w:b/>
          <w:i w:val="false"/>
          <w:color w:val="000000"/>
          <w:sz w:val="22"/>
        </w:rPr>
        <w:t xml:space="preserve">(10A,17A) </w:t>
      </w:r>
      <w:r>
        <w:rPr>
          <w:rFonts w:ascii="Times New Roman" w:hAnsi="Times New Roman"/>
          <w:b/>
          <w:i w:val="false"/>
          <w:color w:val="000000"/>
          <w:sz w:val="22"/>
        </w:rPr>
        <w:t xml:space="preserve">Service on parties. </w:t>
      </w:r>
      <w:r>
        <w:rPr>
          <w:rFonts w:ascii="Times New Roman" w:hAnsi="Times New Roman"/>
          <w:b w:val="false"/>
          <w:i w:val="false"/>
          <w:color w:val="000000"/>
          <w:sz w:val="22"/>
        </w:rPr>
        <w:t xml:space="preserve">Any document or paper not delivered under rules </w:t>
      </w:r>
      <w:hyperlink r:id="rId107">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 xml:space="preserve">(10A,17A,85) and </w:t>
      </w:r>
      <w:hyperlink r:id="rId108">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 xml:space="preserve">(17A,85) which is to be filed and seeks relief from or action against another party, or which has any significant effect on any contested case, shall be served on each party of record under rule </w:t>
      </w:r>
      <w:hyperlink r:id="rId109">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876—2506.43</w:t>
      </w:r>
      <w:r>
        <w:rPr>
          <w:rFonts w:ascii="Times New Roman" w:hAnsi="Times New Roman"/>
          <w:b/>
          <w:i w:val="false"/>
          <w:color w:val="000000"/>
          <w:sz w:val="22"/>
        </w:rPr>
        <w:t xml:space="preserve">(10A,17A) </w:t>
      </w:r>
      <w:r>
        <w:rPr>
          <w:rFonts w:ascii="Times New Roman" w:hAnsi="Times New Roman"/>
          <w:b/>
          <w:i w:val="false"/>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112">
        <w:r>
          <w:rPr>
            <w:rStyle w:val="Hyperlink"/>
            <w:rFonts w:ascii="Times New Roman" w:hAnsi="Times New Roman"/>
            <w:b w:val="false"/>
            <w:i w:val="false"/>
            <w:color w:val="000000"/>
            <w:sz w:val="22"/>
          </w:rPr>
          <w:t>876—2506.36</w:t>
        </w:r>
      </w:hyperlink>
      <w:r>
        <w:rPr>
          <w:rFonts w:ascii="Times New Roman" w:hAnsi="Times New Roman"/>
          <w:b w:val="false"/>
          <w:i w:val="false"/>
          <w:color w:val="000000"/>
          <w:sz w:val="22"/>
        </w:rPr>
        <w:t xml:space="preserve">(10A,17A,85) and </w:t>
      </w:r>
      <w:hyperlink r:id="rId113">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(17A,85), service of all documents and papers to be served according to this chapter or otherwise upon a party represented by an attorney shall be made upon the attorney unless service upon the party is ordered by the workers’ compensation commissioner or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2506.43(2)</w:t>
      </w:r>
      <w:r>
        <w:rPr>
          <w:rFonts w:ascii="Times New Roman" w:hAnsi="Times New Roman"/>
          <w:b w:val="false"/>
          <w:i w:val="false"/>
          <w:color w:val="000000"/>
          <w:sz w:val="22"/>
        </w:rPr>
        <w:t> </w:t>
      </w:r>
      <w:r>
        <w:rPr>
          <w:rFonts w:ascii="Times New Roman" w:hAnsi="Times New Roman"/>
          <w:b w:val="false"/>
          <w:i w:val="false"/>
          <w:color w:val="000000"/>
          <w:sz w:val="22"/>
        </w:rPr>
        <w:t>Service upon the attorney or party shall be made using WCES once a party or party’s attorney has registered in WCES for the claim being contested. If a party has been granted a waiver of the mandatory use of WCES or if a party or attorney has not appeared in WCES, service upon the attorney or party shall be made by delivery of a copy or mailing a copy to the last-known address of the attorney or party or, if no address is known, by filing a copy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2506.43(3)</w:t>
      </w:r>
      <w:r>
        <w:rPr>
          <w:rFonts w:ascii="Times New Roman" w:hAnsi="Times New Roman"/>
          <w:b w:val="false"/>
          <w:i w:val="false"/>
          <w:color w:val="000000"/>
          <w:sz w:val="22"/>
        </w:rPr>
        <w:t> </w:t>
      </w:r>
      <w:r>
        <w:rPr>
          <w:rFonts w:ascii="Times New Roman" w:hAnsi="Times New Roman"/>
          <w:b w:val="false"/>
          <w:i w:val="false"/>
          <w:color w:val="000000"/>
          <w:sz w:val="22"/>
        </w:rPr>
        <w:t>Delivery of a copy within this rule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Handing it to the attorney or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Leaving it at the office of the attorney or party’s office or with the person in charge of the office, or if there is no one in charge of the office, leaving it in a conspicuous place in the office, or if the office is closed or the person to be served has no office, leaving it at the person’s dwelling house, or usual place of abode with some person of suitable age and discretion who is residing at the dwelling or abode;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2506.43(4)</w:t>
      </w:r>
      <w:r>
        <w:rPr>
          <w:rFonts w:ascii="Times New Roman" w:hAnsi="Times New Roman"/>
          <w:b w:val="false"/>
          <w:i w:val="false"/>
          <w:color w:val="000000"/>
          <w:sz w:val="22"/>
        </w:rPr>
        <w:t> </w:t>
      </w:r>
      <w:r>
        <w:rPr>
          <w:rFonts w:ascii="Times New Roman" w:hAnsi="Times New Roman"/>
          <w:b w:val="false"/>
          <w:i w:val="false"/>
          <w:color w:val="000000"/>
          <w:sz w:val="22"/>
        </w:rPr>
        <w:t>Service by mail under this rule is complete upon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2506.43(5)</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that are served on a party for discovery and medical evidence under rules </w:t>
      </w:r>
      <w:hyperlink r:id="rId114">
        <w:r>
          <w:rPr>
            <w:rStyle w:val="Hyperlink"/>
            <w:rFonts w:ascii="Times New Roman" w:hAnsi="Times New Roman"/>
            <w:b w:val="false"/>
            <w:i w:val="false"/>
            <w:color w:val="000000"/>
            <w:sz w:val="22"/>
          </w:rPr>
          <w:t>876—2506.44</w:t>
        </w:r>
      </w:hyperlink>
      <w:r>
        <w:rPr>
          <w:rFonts w:ascii="Times New Roman" w:hAnsi="Times New Roman"/>
          <w:b w:val="false"/>
          <w:i w:val="false"/>
          <w:color w:val="000000"/>
          <w:sz w:val="22"/>
        </w:rPr>
        <w:t xml:space="preserve">(10A) and </w:t>
      </w:r>
      <w:hyperlink r:id="rId115">
        <w:r>
          <w:rPr>
            <w:rStyle w:val="Hyperlink"/>
            <w:rFonts w:ascii="Times New Roman" w:hAnsi="Times New Roman"/>
            <w:b w:val="false"/>
            <w:i w:val="false"/>
            <w:color w:val="000000"/>
            <w:sz w:val="22"/>
          </w:rPr>
          <w:t>876—2506.47</w:t>
        </w:r>
      </w:hyperlink>
      <w:r>
        <w:rPr>
          <w:rFonts w:ascii="Times New Roman" w:hAnsi="Times New Roman"/>
          <w:b w:val="false"/>
          <w:i w:val="false"/>
          <w:color w:val="000000"/>
          <w:sz w:val="22"/>
        </w:rPr>
        <w:t>(10A) shall not be filed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2506.43(6)</w:t>
      </w:r>
      <w:r>
        <w:rPr>
          <w:rFonts w:ascii="Times New Roman" w:hAnsi="Times New Roman"/>
          <w:b w:val="false"/>
          <w:i w:val="false"/>
          <w:color w:val="000000"/>
          <w:sz w:val="22"/>
        </w:rPr>
        <w:t> </w:t>
      </w:r>
      <w:r>
        <w:rPr>
          <w:rFonts w:ascii="Times New Roman" w:hAnsi="Times New Roman"/>
          <w:b w:val="false"/>
          <w:i w:val="false"/>
          <w:color w:val="000000"/>
          <w:sz w:val="22"/>
        </w:rPr>
        <w:t>No documents or papers referred to in this rule shall be served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876—2506.44</w:t>
      </w:r>
      <w:r>
        <w:rPr>
          <w:rFonts w:ascii="Times New Roman" w:hAnsi="Times New Roman"/>
          <w:b/>
          <w:i w:val="false"/>
          <w:color w:val="000000"/>
          <w:sz w:val="22"/>
        </w:rPr>
        <w:t xml:space="preserve">(10A) </w:t>
      </w:r>
      <w:r>
        <w:rPr>
          <w:rFonts w:ascii="Times New Roman" w:hAnsi="Times New Roman"/>
          <w:b/>
          <w:i w:val="false"/>
          <w:color w:val="000000"/>
          <w:sz w:val="22"/>
        </w:rPr>
        <w:t xml:space="preserve">Filing of documents and papers. </w:t>
      </w:r>
      <w:r>
        <w:rPr>
          <w:rFonts w:ascii="Times New Roman" w:hAnsi="Times New Roman"/>
          <w:b w:val="false"/>
          <w:i w:val="false"/>
          <w:color w:val="000000"/>
          <w:sz w:val="22"/>
        </w:rPr>
        <w:t xml:space="preserve">All documents and papers required to be served on a party under rule </w:t>
      </w:r>
      <w:hyperlink r:id="rId118">
        <w:r>
          <w:rPr>
            <w:rStyle w:val="Hyperlink"/>
            <w:rFonts w:ascii="Times New Roman" w:hAnsi="Times New Roman"/>
            <w:b w:val="false"/>
            <w:i w:val="false"/>
            <w:color w:val="000000"/>
            <w:sz w:val="22"/>
          </w:rPr>
          <w:t>876—2506.42</w:t>
        </w:r>
      </w:hyperlink>
      <w:r>
        <w:rPr>
          <w:rFonts w:ascii="Times New Roman" w:hAnsi="Times New Roman"/>
          <w:b w:val="false"/>
          <w:i w:val="false"/>
          <w:color w:val="000000"/>
          <w:sz w:val="22"/>
        </w:rPr>
        <w:t xml:space="preserve">(10A,17A) shall be filed with the workers’ compensation commissioner either before service or within a reasonable time thereafter. No deposition, notice of deposition, notice of requests for discovery, notice of responses to requests for discovery, and notice of medical records and reports required to be served by rule </w:t>
      </w:r>
      <w:hyperlink r:id="rId119">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(10A) shall be filed with or accepted for filing in WCES unless ordered by the workers’ compensation commissioner or a deputy workers’ compensation commissioner, or its use becomes otherwise necessary in the action, in which case it shall be attached to the relevant motion or response to the motion requiring its use, or unless offered as evidence at hearing of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0">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876—2506.45</w:t>
      </w:r>
      <w:r>
        <w:rPr>
          <w:rFonts w:ascii="Times New Roman" w:hAnsi="Times New Roman"/>
          <w:b/>
          <w:i w:val="false"/>
          <w:color w:val="000000"/>
          <w:sz w:val="22"/>
        </w:rPr>
        <w:t xml:space="preserve">(10A) </w:t>
      </w:r>
      <w:r>
        <w:rPr>
          <w:rFonts w:ascii="Times New Roman" w:hAnsi="Times New Roman"/>
          <w:b/>
          <w:i w:val="false"/>
          <w:color w:val="000000"/>
          <w:sz w:val="22"/>
        </w:rPr>
        <w:t xml:space="preserve">Proof of service. </w:t>
      </w:r>
      <w:r>
        <w:rPr>
          <w:rFonts w:ascii="Times New Roman" w:hAnsi="Times New Roman"/>
          <w:b w:val="false"/>
          <w:i w:val="false"/>
          <w:color w:val="000000"/>
          <w:sz w:val="22"/>
        </w:rPr>
        <w:t xml:space="preserve">Proof of service of all documents and papers to be served on another party under rule </w:t>
      </w:r>
      <w:hyperlink r:id="rId121">
        <w:r>
          <w:rPr>
            <w:rStyle w:val="Hyperlink"/>
            <w:rFonts w:ascii="Times New Roman" w:hAnsi="Times New Roman"/>
            <w:b w:val="false"/>
            <w:i w:val="false"/>
            <w:color w:val="000000"/>
            <w:sz w:val="22"/>
          </w:rPr>
          <w:t>876—2506.42</w:t>
        </w:r>
      </w:hyperlink>
      <w:r>
        <w:rPr>
          <w:rFonts w:ascii="Times New Roman" w:hAnsi="Times New Roman"/>
          <w:b w:val="false"/>
          <w:i w:val="false"/>
          <w:color w:val="000000"/>
          <w:sz w:val="22"/>
        </w:rPr>
        <w:t>(10A,17A) shall be filed with the division of workers’ compensation promptly and, in any event, before action is to be taken thereon by the workers’ compensation commissioner or a deputy workers’ compensation commissioner or any party unless a responsive pleading has been filed. Proof shall be made by filing the document in WCES when another party is registered in WCES for that claim. If a party or a party’s attorney or representative is not in WCES for the claim being contested, the proof shall show the date and manner of service and may be by written acknowledgment of service, by certification of a member of the bar of this state, by affidavit of the person who served the papers, or by any other proof satisfactory to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876—2506.46</w:t>
      </w:r>
      <w:r>
        <w:rPr>
          <w:rFonts w:ascii="Times New Roman" w:hAnsi="Times New Roman"/>
          <w:b/>
          <w:i w:val="false"/>
          <w:color w:val="000000"/>
          <w:sz w:val="22"/>
        </w:rPr>
        <w:t xml:space="preserve">(10A) </w:t>
      </w:r>
      <w:r>
        <w:rPr>
          <w:rFonts w:ascii="Times New Roman" w:hAnsi="Times New Roman"/>
          <w:b/>
          <w:i w:val="false"/>
          <w:color w:val="000000"/>
          <w:sz w:val="22"/>
        </w:rPr>
        <w:t xml:space="preserve">Service of 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shall serve all records received pursuant to a patient’s waiver (Form 14-0043—authorization for release of information regarding claimants seeking workers’ compensation benefits) and medical records and reports concerning the injured worker in the possession of the party upon each opposing party not later than 20 days following filing of an answer or, if not then in possession of a party, within 10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records and reports are records of medical practitioners and institutions concerning the injured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practitioners and institutions include physicians, physician associates, surgeons, osteopathic physicians and surgeons, chiropractors, dentists, nurses, podiatrists, psychiatrists, psychologists, counselors, hospitals, clinics, persons engaged in physical or vocational rehabilitation or evaluation for rehabilitation, and all other practitioners of the healing arts or sciences and all other institutions in which the healing arts or sciences are practiced.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party shall serve a notice accompanying the records and reports identifying the records and reports served by the name of the practitioner or institution or other source and date of the records and reports and, if served later than 20 days following filing of the answer, stating the date when the records and reports were received by the party serving them. Pursuant to rule </w:t>
      </w:r>
      <w:hyperlink r:id="rId123">
        <w:r>
          <w:rPr>
            <w:rStyle w:val="Hyperlink"/>
            <w:rFonts w:ascii="Times New Roman" w:hAnsi="Times New Roman"/>
            <w:b w:val="false"/>
            <w:i w:val="false"/>
            <w:color w:val="000000"/>
            <w:sz w:val="22"/>
          </w:rPr>
          <w:t>876—2506.44</w:t>
        </w:r>
      </w:hyperlink>
      <w:r>
        <w:rPr>
          <w:rFonts w:ascii="Times New Roman" w:hAnsi="Times New Roman"/>
          <w:b w:val="false"/>
          <w:i w:val="false"/>
          <w:color w:val="000000"/>
          <w:sz w:val="22"/>
        </w:rPr>
        <w:t>(10A), the notice and records and reports shall not be filed with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failing to comply with the provisions of this rule shall, if the failure is prejudicial to an opposing party, be subject to the provisions of rule </w:t>
      </w:r>
      <w:hyperlink r:id="rId124">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(10A). This rule does not require a party to serve any record or report that was previously served by another party in a contested case proceeding. Compliance with this rule does not automatically permit a record or report to be received into evidence if the record or report was not served prior to an applicable deadline established by rule or order for completing discovery or service of exhibits.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876—2506.47</w:t>
      </w:r>
      <w:r>
        <w:rPr>
          <w:rFonts w:ascii="Times New Roman" w:hAnsi="Times New Roman"/>
          <w:b/>
          <w:i w:val="false"/>
          <w:color w:val="000000"/>
          <w:sz w:val="22"/>
        </w:rPr>
        <w:t xml:space="preserve">(10A) </w:t>
      </w:r>
      <w:r>
        <w:rPr>
          <w:rFonts w:ascii="Times New Roman" w:hAnsi="Times New Roman"/>
          <w:b/>
          <w:i w:val="false"/>
          <w:color w:val="000000"/>
          <w:sz w:val="22"/>
        </w:rPr>
        <w:t xml:space="preserve">Medical evidence and discovery. </w:t>
      </w:r>
      <w:r>
        <w:rPr>
          <w:rFonts w:ascii="Times New Roman" w:hAnsi="Times New Roman"/>
          <w:b w:val="false"/>
          <w:i w:val="false"/>
          <w:color w:val="000000"/>
          <w:sz w:val="22"/>
        </w:rPr>
        <w:t xml:space="preserve">Discovery in workers’ compensation proceedings is governed by the rules of civil procedure pursuant to rule </w:t>
      </w:r>
      <w:hyperlink r:id="rId127">
        <w:r>
          <w:rPr>
            <w:rStyle w:val="Hyperlink"/>
            <w:rFonts w:ascii="Times New Roman" w:hAnsi="Times New Roman"/>
            <w:b w:val="false"/>
            <w:i w:val="false"/>
            <w:color w:val="000000"/>
            <w:sz w:val="22"/>
          </w:rPr>
          <w:t>876—2506.61</w:t>
        </w:r>
      </w:hyperlink>
      <w:r>
        <w:rPr>
          <w:rFonts w:ascii="Times New Roman" w:hAnsi="Times New Roman"/>
          <w:b w:val="false"/>
          <w:i w:val="false"/>
          <w:color w:val="000000"/>
          <w:sz w:val="22"/>
        </w:rPr>
        <w:t>(10A,17A). Any relevant medical record or report served upon a party in compliance with these rules prior to any deadline established by order or rule for service of the records and reports shall be admissible as evidence at hearing of the contested case unless otherwise provided by rule. Any party against which a medical record or report may be used shall have the right, at the party’s own initial expense, to cross-examine by deposition the medical practitioner producing the record or report and the deposition shall be admissible as evidence in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8">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876—2506.48</w:t>
      </w:r>
      <w:r>
        <w:rPr>
          <w:rFonts w:ascii="Times New Roman" w:hAnsi="Times New Roman"/>
          <w:b/>
          <w:i w:val="false"/>
          <w:color w:val="000000"/>
          <w:sz w:val="22"/>
        </w:rPr>
        <w:t xml:space="preserve">(10A) </w:t>
      </w:r>
      <w:r>
        <w:rPr>
          <w:rFonts w:ascii="Times New Roman" w:hAnsi="Times New Roman"/>
          <w:b/>
          <w:i w:val="false"/>
          <w:color w:val="000000"/>
          <w:sz w:val="22"/>
        </w:rPr>
        <w:t xml:space="preserve">Prehearing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2506.48(1)</w:t>
      </w:r>
      <w:r>
        <w:rPr>
          <w:rFonts w:ascii="Times New Roman" w:hAnsi="Times New Roman"/>
          <w:b w:val="false"/>
          <w:i w:val="false"/>
          <w:color w:val="000000"/>
          <w:sz w:val="22"/>
        </w:rPr>
        <w:t> </w:t>
      </w:r>
      <w:r>
        <w:rPr>
          <w:rFonts w:ascii="Times New Roman" w:hAnsi="Times New Roman"/>
          <w:b w:val="false"/>
          <w:i w:val="false"/>
          <w:color w:val="000000"/>
          <w:sz w:val="22"/>
        </w:rPr>
        <w:t>Prehearing procedure in contested cases shall be administered in accordance with these rules and the orders issued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2506.48(2)</w:t>
      </w:r>
      <w:r>
        <w:rPr>
          <w:rFonts w:ascii="Times New Roman" w:hAnsi="Times New Roman"/>
          <w:b w:val="false"/>
          <w:i w:val="false"/>
          <w:color w:val="000000"/>
          <w:sz w:val="22"/>
        </w:rPr>
        <w:t> </w:t>
      </w:r>
      <w:r>
        <w:rPr>
          <w:rFonts w:ascii="Times New Roman" w:hAnsi="Times New Roman"/>
          <w:b w:val="false"/>
          <w:i w:val="false"/>
          <w:color w:val="000000"/>
          <w:sz w:val="22"/>
        </w:rPr>
        <w:t>Counsel of record and pro se litigants have a duty to exercise reasonable diligence to bring the contested case to hearing at the earliest reasonable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time limits govern prehearing procedure, completion of discovery and case management in contested cases, except proceedings under rules </w:t>
      </w:r>
      <w:hyperlink r:id="rId130">
        <w:r>
          <w:rPr>
            <w:rStyle w:val="Hyperlink"/>
            <w:rFonts w:ascii="Times New Roman" w:hAnsi="Times New Roman"/>
            <w:b w:val="false"/>
            <w:i w:val="false"/>
            <w:color w:val="000000"/>
            <w:sz w:val="22"/>
          </w:rPr>
          <w:t>876—2506.64</w:t>
        </w:r>
      </w:hyperlink>
      <w:r>
        <w:rPr>
          <w:rFonts w:ascii="Times New Roman" w:hAnsi="Times New Roman"/>
          <w:b w:val="false"/>
          <w:i w:val="false"/>
          <w:color w:val="000000"/>
          <w:sz w:val="22"/>
        </w:rPr>
        <w:t xml:space="preserve">(10A,17A,85) and </w:t>
      </w:r>
      <w:hyperlink r:id="rId131">
        <w:r>
          <w:rPr>
            <w:rStyle w:val="Hyperlink"/>
            <w:rFonts w:ascii="Times New Roman" w:hAnsi="Times New Roman"/>
            <w:b w:val="false"/>
            <w:i w:val="false"/>
            <w:color w:val="000000"/>
            <w:sz w:val="22"/>
          </w:rPr>
          <w:t>876—2506.65</w:t>
        </w:r>
      </w:hyperlink>
      <w:r>
        <w:rPr>
          <w:rFonts w:ascii="Times New Roman" w:hAnsi="Times New Roman"/>
          <w:b w:val="false"/>
          <w:i w:val="false"/>
          <w:color w:val="000000"/>
          <w:sz w:val="22"/>
        </w:rPr>
        <w:t>(10A,17A,85) and except when otherwise ordered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120 days, but not less than 60 days, following the filing of a petition, the counsel of record for all parties and all pro se litigants shall utilize WCES scheduling procedures to request an available hearing time slot consistent with the presiding deputy commissioner’s hearing schedule. Claimant has primary responsibility for initiating the contact. The parties shall identify the case by file number and the names of the parties and request that the hearing be set at a specific date, place and time that is shown to be available on the hearing scheduler published on the division’s website. Primary and backup times must be requested for hearings in venues other than Des Moines. When the contact is made by email, a copy of the request shall be sent to each opposing party, and the hearing administrator will reply indicating whether or not the case is assigned at the time requested. If a request is denied, the parties shall continue to contact the hearing administrator by telephone or email until the case is scheduled or a prehearing conference is ordered. A joint scheduling contact may be initiated by any party at any other time agreeable to the parties. If more than 120 days have elapsed since the petition was filed, any party may move to schedule the hearing at a particular date, time and place that is available, and the hearing administrator may assign the case for hearing at that date, time and place. The hearing date shall be within 12 months following the date the petition was filed or as soon thereafter as reasonably practicable as determined by the hearing administrator. If the parties fail to schedule the hearing with the hearing administrator, the case will be scheduled at the discretion of the hearing administrator without prior notice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who intends to introduce evidence from an expert witness, including a rebuttal expert witness, shall certify to all other parties the expert’s name, subject matter of expertise, qualifications, and a summary of the expert’s opinions within the following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Claimant—120 days before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Employer/second injury fund of Iowa—90 days before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Rebuttal—60 days before hearing.</w:t>
      </w:r>
    </w:p>
    <w:p>
      <w:pPr>
        <w:spacing w:before="0" w:after="0"/>
        <w:ind w:left="120"/>
        <w:jc w:val="both"/>
      </w:pPr>
      <w:r>
        <w:rPr>
          <w:rFonts w:ascii="Times New Roman" w:hAnsi="Times New Roman"/>
          <w:b w:val="false"/>
          <w:i w:val="false"/>
          <w:color w:val="000000"/>
          <w:sz w:val="22"/>
        </w:rPr>
        <w:t xml:space="preserve">Certification is not required to introduce evidence from an examining physician pursuant to Iowa Code section </w:t>
      </w:r>
      <w:hyperlink r:id="rId132">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a treating physician, or a vocational consultant if the expert witness is known by all parties to have personally provided services to the claimant and the witness’s reports are served on opposing parties prior to the date when certification is required.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responses must be supplemented as required in Iowa Rules of Civil Procedure </w:t>
      </w:r>
      <w:hyperlink r:id="rId133">
        <w:r>
          <w:rPr>
            <w:rStyle w:val="Hyperlink"/>
            <w:rFonts w:ascii="Times New Roman" w:hAnsi="Times New Roman"/>
            <w:b w:val="false"/>
            <w:i w:val="false"/>
            <w:color w:val="000000"/>
            <w:sz w:val="22"/>
          </w:rPr>
          <w:t>1.503(4)</w:t>
        </w:r>
      </w:hyperlink>
      <w:r>
        <w:rPr>
          <w:rFonts w:ascii="Times New Roman" w:hAnsi="Times New Roman"/>
          <w:b w:val="false"/>
          <w:i w:val="false"/>
          <w:color w:val="000000"/>
          <w:sz w:val="22"/>
        </w:rPr>
        <w:t xml:space="preserve"> and 1.508(3) and shall be supplemented within 20 days after a party requests supplementation. All discovery responses, depositions, and reports from independent medical examinations shall be completed and served on opposing counsel and pro se litigants at least 30 days before hearing.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30 days before hearing, counsel of record and pro se litigants shall serve a witness list and exhibit list on all opposing counsel and pro se litigants and exchange all intended exhibits that were not previously required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witness list shall name all persons, except the claimant, who will be called to testify at the hearing or who will be deposed prior to the hearing in lieu of testifying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exhibit list must specifically identify each exhibit in a way that permits the opposing party to recognize the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description for a document should include the document’s date, number of pages and author 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Exhibits that were specifically identified when served pursuant to rule </w:t>
      </w:r>
      <w:hyperlink r:id="rId134">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 xml:space="preserve">(10A) or in a discovery response may be collectively identified by describing the service (e.g., “exhibits described in the notices served pursuant to rule </w:t>
      </w:r>
      <w:hyperlink r:id="rId135">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(10A) on May 7, June 11 and July 9, 2004”). Blanket references, such as “all medical records,” “personnel file” or “records produced during discovery,” do not specifically identify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party may serve a copy of the actual intended exhibits in lieu of an exhibit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Evidentiary depositions pursuant to Iowa Code section </w:t>
      </w:r>
      <w:hyperlink r:id="rId136">
        <w:r>
          <w:rPr>
            <w:rStyle w:val="Hyperlink"/>
            <w:rFonts w:ascii="Times New Roman" w:hAnsi="Times New Roman"/>
            <w:b w:val="false"/>
            <w:i w:val="false"/>
            <w:color w:val="000000"/>
            <w:sz w:val="22"/>
          </w:rPr>
          <w:t>10A.319(2)</w:t>
        </w:r>
      </w:hyperlink>
      <w:r>
        <w:rPr>
          <w:rFonts w:ascii="Times New Roman" w:hAnsi="Times New Roman"/>
          <w:b w:val="false"/>
          <w:i w:val="false"/>
          <w:color w:val="000000"/>
          <w:sz w:val="22"/>
        </w:rPr>
        <w:t xml:space="preserve"> may be taken at any time before the hearing in lieu of the witness testifying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14 days before the hearing, the parties shall file proposed hearing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proposed joint exhibits shall not exceed 100 pages. The proposed claimant’s exhibits shall not exceed 50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defendants’ exhibits shall not exceed 50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commissioner or a deputy workers’ compensation commissioner may, upon a showing of good cause, allow proposed hearing exhibits in excess of the page limits mentioned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evidence is offered at hearing that was not disclosed in the time and manner required by these rules, as altered by order of the workers’ compensation commissioner or a deputy workers’ compensation commissioner or by a written agreement by the parties, the evidence will be excluded unless the offering party demonstrates good cause for failure to comply with the rules or order. Sanctions may be imposed pursuant to rule </w:t>
      </w:r>
      <w:hyperlink r:id="rId137">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(10A) in addition to or in lieu of exclusion if exclusion is not an effective remedy for the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2506.48(5)</w:t>
      </w:r>
      <w:r>
        <w:rPr>
          <w:rFonts w:ascii="Times New Roman" w:hAnsi="Times New Roman"/>
          <w:b w:val="false"/>
          <w:i w:val="false"/>
          <w:color w:val="000000"/>
          <w:sz w:val="22"/>
        </w:rPr>
        <w:t> </w:t>
      </w:r>
      <w:r>
        <w:rPr>
          <w:rFonts w:ascii="Times New Roman" w:hAnsi="Times New Roman"/>
          <w:b w:val="false"/>
          <w:i w:val="false"/>
          <w:color w:val="000000"/>
          <w:sz w:val="22"/>
        </w:rPr>
        <w:t>Counsel and pro se litigants shall prepare a hearing report that defines the claims, defenses, and issues that are to be submitted to the deputy commissioner who presides at the hearing. The hearing report shall be signed by all counsel of record and pro se litigants and submitted to the deputy workers’ compensation commissioner when the hearing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2506.48(6)</w:t>
      </w:r>
      <w:r>
        <w:rPr>
          <w:rFonts w:ascii="Times New Roman" w:hAnsi="Times New Roman"/>
          <w:b w:val="false"/>
          <w:i w:val="false"/>
          <w:color w:val="000000"/>
          <w:sz w:val="22"/>
        </w:rPr>
        <w:t> </w:t>
      </w:r>
      <w:r>
        <w:rPr>
          <w:rFonts w:ascii="Times New Roman" w:hAnsi="Times New Roman"/>
          <w:b w:val="false"/>
          <w:i w:val="false"/>
          <w:color w:val="000000"/>
          <w:sz w:val="22"/>
        </w:rPr>
        <w:t>Jurisdictional deadlines, including but not limited to any applicable statute of limitations, cannot be extended. It is each party’s responsibility to ensure that a document is filed timely to comply with jurisdictional deadlines. A technical failure, including a failure of WCES, will not excuse a failure to comply with a jurisdictional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2506.48(7)</w:t>
      </w:r>
      <w:r>
        <w:rPr>
          <w:rFonts w:ascii="Times New Roman" w:hAnsi="Times New Roman"/>
          <w:b w:val="false"/>
          <w:i w:val="false"/>
          <w:color w:val="000000"/>
          <w:sz w:val="22"/>
        </w:rPr>
        <w:t> </w:t>
      </w:r>
      <w:r>
        <w:rPr>
          <w:rFonts w:ascii="Times New Roman" w:hAnsi="Times New Roman"/>
          <w:b w:val="false"/>
          <w:i w:val="false"/>
          <w:color w:val="000000"/>
          <w:sz w:val="22"/>
        </w:rPr>
        <w:t>A party is not excused from missing a jurisdictional or nonjurisdictional filing deadline because of problems attributable to the party.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876—2506.49</w:t>
      </w:r>
      <w:r>
        <w:rPr>
          <w:rFonts w:ascii="Times New Roman" w:hAnsi="Times New Roman"/>
          <w:b/>
          <w:i w:val="false"/>
          <w:color w:val="000000"/>
          <w:sz w:val="22"/>
        </w:rPr>
        <w:t xml:space="preserve">(10A)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A deputy workers’ compensation commissioner or the workers’ compensation commissioner may order parties in the case to either appear before the workers’ compensation commissioner or a deputy workers’ compensation commissioner for a conference, or communicate with the workers’ compensation commissioner or a deputy workers’ compensation commissioner and with each other in any manner as may be prescribed to consider, so far as applicable to the particular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2506.49(1)</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pleadings by formal amendment or prehearing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2506.49(2)</w:t>
      </w:r>
      <w:r>
        <w:rPr>
          <w:rFonts w:ascii="Times New Roman" w:hAnsi="Times New Roman"/>
          <w:b w:val="false"/>
          <w:i w:val="false"/>
          <w:color w:val="000000"/>
          <w:sz w:val="22"/>
        </w:rPr>
        <w:t> </w:t>
      </w:r>
      <w:r>
        <w:rPr>
          <w:rFonts w:ascii="Times New Roman" w:hAnsi="Times New Roman"/>
          <w:b w:val="false"/>
          <w:i w:val="false"/>
          <w:color w:val="000000"/>
          <w:sz w:val="22"/>
        </w:rPr>
        <w:t>Agreeing to admissions of facts, documents or records not really controverted, to avoid unnecessary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2506.49(3)</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2506.49(4)</w:t>
      </w:r>
      <w:r>
        <w:rPr>
          <w:rFonts w:ascii="Times New Roman" w:hAnsi="Times New Roman"/>
          <w:b w:val="false"/>
          <w:i w:val="false"/>
          <w:color w:val="000000"/>
          <w:sz w:val="22"/>
        </w:rPr>
        <w:t> </w:t>
      </w:r>
      <w:r>
        <w:rPr>
          <w:rFonts w:ascii="Times New Roman" w:hAnsi="Times New Roman"/>
          <w:b w:val="false"/>
          <w:i w:val="false"/>
          <w:color w:val="000000"/>
          <w:sz w:val="22"/>
        </w:rPr>
        <w:t>Settling any facts of which the workers’ compensation commissioner or a deputy workers’ compensation commissioner is to be asked to take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2506.49(5)</w:t>
      </w:r>
      <w:r>
        <w:rPr>
          <w:rFonts w:ascii="Times New Roman" w:hAnsi="Times New Roman"/>
          <w:b w:val="false"/>
          <w:i w:val="false"/>
          <w:color w:val="000000"/>
          <w:sz w:val="22"/>
        </w:rPr>
        <w:t> </w:t>
      </w:r>
      <w:r>
        <w:rPr>
          <w:rFonts w:ascii="Times New Roman" w:hAnsi="Times New Roman"/>
          <w:b w:val="false"/>
          <w:i w:val="false"/>
          <w:color w:val="000000"/>
          <w:sz w:val="22"/>
        </w:rPr>
        <w:t>Stating and simplifying the factual and legal issues to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2506.49(6)</w:t>
      </w:r>
      <w:r>
        <w:rPr>
          <w:rFonts w:ascii="Times New Roman" w:hAnsi="Times New Roman"/>
          <w:b w:val="false"/>
          <w:i w:val="false"/>
          <w:color w:val="000000"/>
          <w:sz w:val="22"/>
        </w:rPr>
        <w:t> </w:t>
      </w:r>
      <w:r>
        <w:rPr>
          <w:rFonts w:ascii="Times New Roman" w:hAnsi="Times New Roman"/>
          <w:b w:val="false"/>
          <w:i w:val="false"/>
          <w:color w:val="000000"/>
          <w:sz w:val="22"/>
        </w:rPr>
        <w:t>Specifying the items and amounts of compensation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2506.49(7)</w:t>
      </w:r>
      <w:r>
        <w:rPr>
          <w:rFonts w:ascii="Times New Roman" w:hAnsi="Times New Roman"/>
          <w:b w:val="false"/>
          <w:i w:val="false"/>
          <w:color w:val="000000"/>
          <w:sz w:val="22"/>
        </w:rPr>
        <w:t> </w:t>
      </w:r>
      <w:r>
        <w:rPr>
          <w:rFonts w:ascii="Times New Roman" w:hAnsi="Times New Roman"/>
          <w:b w:val="false"/>
          <w:i w:val="false"/>
          <w:color w:val="000000"/>
          <w:sz w:val="22"/>
        </w:rPr>
        <w:t>Specifying all proposed exhibits and proof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2506.49(8)</w:t>
      </w:r>
      <w:r>
        <w:rPr>
          <w:rFonts w:ascii="Times New Roman" w:hAnsi="Times New Roman"/>
          <w:b w:val="false"/>
          <w:i w:val="false"/>
          <w:color w:val="000000"/>
          <w:sz w:val="22"/>
        </w:rPr>
        <w:t> </w:t>
      </w:r>
      <w:r>
        <w:rPr>
          <w:rFonts w:ascii="Times New Roman" w:hAnsi="Times New Roman"/>
          <w:b w:val="false"/>
          <w:i w:val="false"/>
          <w:color w:val="000000"/>
          <w:sz w:val="22"/>
        </w:rPr>
        <w:t>Consolidation of cases and bifurcation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2506.49(9)</w:t>
      </w:r>
      <w:r>
        <w:rPr>
          <w:rFonts w:ascii="Times New Roman" w:hAnsi="Times New Roman"/>
          <w:b w:val="false"/>
          <w:i w:val="false"/>
          <w:color w:val="000000"/>
          <w:sz w:val="22"/>
        </w:rPr>
        <w:t> </w:t>
      </w:r>
      <w:r>
        <w:rPr>
          <w:rFonts w:ascii="Times New Roman" w:hAnsi="Times New Roman"/>
          <w:b w:val="false"/>
          <w:i w:val="false"/>
          <w:color w:val="000000"/>
          <w:sz w:val="22"/>
        </w:rPr>
        <w:t>Specifying all witnesses expected to testify;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2506.49(10)</w:t>
      </w:r>
      <w:r>
        <w:rPr>
          <w:rFonts w:ascii="Times New Roman" w:hAnsi="Times New Roman"/>
          <w:b w:val="false"/>
          <w:i w:val="false"/>
          <w:color w:val="000000"/>
          <w:sz w:val="22"/>
        </w:rPr>
        <w:t> </w:t>
      </w:r>
      <w:r>
        <w:rPr>
          <w:rFonts w:ascii="Times New Roman" w:hAnsi="Times New Roman"/>
          <w:b w:val="false"/>
          <w:i w:val="false"/>
          <w:color w:val="000000"/>
          <w:sz w:val="22"/>
        </w:rPr>
        <w:t>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2506.49(11)</w:t>
      </w:r>
      <w:r>
        <w:rPr>
          <w:rFonts w:ascii="Times New Roman" w:hAnsi="Times New Roman"/>
          <w:b w:val="false"/>
          <w:i w:val="false"/>
          <w:color w:val="000000"/>
          <w:sz w:val="22"/>
        </w:rPr>
        <w:t> </w:t>
      </w:r>
      <w:r>
        <w:rPr>
          <w:rFonts w:ascii="Times New Roman" w:hAnsi="Times New Roman"/>
          <w:b w:val="false"/>
          <w:i w:val="false"/>
          <w:color w:val="000000"/>
          <w:sz w:val="22"/>
        </w:rPr>
        <w:t>Filing of advance briefs,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2506.49(12)</w:t>
      </w:r>
      <w:r>
        <w:rPr>
          <w:rFonts w:ascii="Times New Roman" w:hAnsi="Times New Roman"/>
          <w:b w:val="false"/>
          <w:i w:val="false"/>
          <w:color w:val="000000"/>
          <w:sz w:val="22"/>
        </w:rPr>
        <w:t> </w:t>
      </w:r>
      <w:r>
        <w:rPr>
          <w:rFonts w:ascii="Times New Roman" w:hAnsi="Times New Roman"/>
          <w:b w:val="false"/>
          <w:i w:val="false"/>
          <w:color w:val="000000"/>
          <w:sz w:val="22"/>
        </w:rPr>
        <w:t>Setting or altering dates for completion of discovery or completion of medical evidence by each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2506.49(13)</w:t>
      </w:r>
      <w:r>
        <w:rPr>
          <w:rFonts w:ascii="Times New Roman" w:hAnsi="Times New Roman"/>
          <w:b w:val="false"/>
          <w:i w:val="false"/>
          <w:color w:val="000000"/>
          <w:sz w:val="22"/>
        </w:rPr>
        <w:t> </w:t>
      </w:r>
      <w:r>
        <w:rPr>
          <w:rFonts w:ascii="Times New Roman" w:hAnsi="Times New Roman"/>
          <w:b w:val="false"/>
          <w:i w:val="false"/>
          <w:color w:val="000000"/>
          <w:sz w:val="22"/>
        </w:rPr>
        <w:t>Any other matter which may facilitate, expedite, or simplify any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9">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876—2506.50</w:t>
      </w:r>
      <w:r>
        <w:rPr>
          <w:rFonts w:ascii="Times New Roman" w:hAnsi="Times New Roman"/>
          <w:b/>
          <w:i w:val="false"/>
          <w:color w:val="000000"/>
          <w:sz w:val="22"/>
        </w:rPr>
        <w:t xml:space="preserve">(10A) </w:t>
      </w:r>
      <w:r>
        <w:rPr>
          <w:rFonts w:ascii="Times New Roman" w:hAnsi="Times New Roman"/>
          <w:b/>
          <w:i w:val="false"/>
          <w:color w:val="000000"/>
          <w:sz w:val="22"/>
        </w:rPr>
        <w:t xml:space="preserve">Prehearing conference record. </w:t>
      </w:r>
      <w:r>
        <w:rPr>
          <w:rFonts w:ascii="Times New Roman" w:hAnsi="Times New Roman"/>
          <w:b w:val="false"/>
          <w:i w:val="false"/>
          <w:color w:val="000000"/>
          <w:sz w:val="22"/>
        </w:rPr>
        <w:t>At the request of any attorney in the case, or at the discretion of a deputy workers’ compensation commissioner or the workers’ compensation commissioner, the entire prehearing conference or any designated part thereof shall be recorded and the cost of the reporter shall be assessed to the requesting party or, if directed by the workers’ compensation commissioner or deputy workers’ compensation commissioner, assessed as costs.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1">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876—2506.51</w:t>
      </w:r>
      <w:r>
        <w:rPr>
          <w:rFonts w:ascii="Times New Roman" w:hAnsi="Times New Roman"/>
          <w:b/>
          <w:i w:val="false"/>
          <w:color w:val="000000"/>
          <w:sz w:val="22"/>
        </w:rPr>
        <w:t xml:space="preserve">(10A) </w:t>
      </w:r>
      <w:r>
        <w:rPr>
          <w:rFonts w:ascii="Times New Roman" w:hAnsi="Times New Roman"/>
          <w:b/>
          <w:i w:val="false"/>
          <w:color w:val="000000"/>
          <w:sz w:val="22"/>
        </w:rPr>
        <w:t xml:space="preserve">Assignment for hearing. </w:t>
      </w:r>
      <w:r>
        <w:rPr>
          <w:rFonts w:ascii="Times New Roman" w:hAnsi="Times New Roman"/>
          <w:b w:val="false"/>
          <w:i w:val="false"/>
          <w:color w:val="000000"/>
          <w:sz w:val="22"/>
        </w:rPr>
        <w:t>Contested cases shall be set for hearing within the discretion of the workers’ compensation commissioner as soon as practicable after the parties have had adequate opportunity to prepare for hearing. A party may request in writing that no hearing in a contested case be held until such time as specified matters have been accomplished or specified events have occurred. Continuances of hearings in contested cases shall be granted only by the workers’ compensation commissioner or the commissioner’s designee. Continuances are governed by Iowa Rules of Civil Procedure 1.910 through 1.912. Requests for continuance shall also state in detail the reasons for the request and whether the opposing party accedes to the request. Defendants shall promptly notify the workers’ compensation commissioner of settlements.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3">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876—2506.52</w:t>
      </w:r>
      <w:r>
        <w:rPr>
          <w:rFonts w:ascii="Times New Roman" w:hAnsi="Times New Roman"/>
          <w:b/>
          <w:i w:val="false"/>
          <w:color w:val="000000"/>
          <w:sz w:val="22"/>
        </w:rPr>
        <w:t xml:space="preserve">(10A,17A,85,85A,85B) </w:t>
      </w:r>
      <w:r>
        <w:rPr>
          <w:rFonts w:ascii="Times New Roman" w:hAnsi="Times New Roman"/>
          <w:b/>
          <w:i w:val="false"/>
          <w:color w:val="000000"/>
          <w:sz w:val="22"/>
        </w:rPr>
        <w:t xml:space="preserve">Rehearing. </w:t>
      </w:r>
      <w:r>
        <w:rPr>
          <w:rFonts w:ascii="Times New Roman" w:hAnsi="Times New Roman"/>
          <w:b w:val="false"/>
          <w:i w:val="false"/>
          <w:color w:val="000000"/>
          <w:sz w:val="22"/>
        </w:rPr>
        <w:t>Any party may file an application for rehearing of a proposed decision in any contested case by a deputy workers’ compensation commissioner or a decision in any contested case by the workers’ compensation commissioner within 20 days after the issuance of the decision. If a party has been allowed to file not using WCES or a party to the claim is not in WCES, a copy of such application shall be timely mailed by the applicant to all parties of record not joining therein. An application for rehearing shall be deemed denied unless the deputy commissioner or workers’ compensation commissioner rendering the decision grants the application within 20 days after its filing. For purposes of this rule, motions or requests for reconsideration or new trial or retrial or any reexamination of any decision, ruling, or order shall be treated the same as an application for rehearing.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14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876—2506.53</w:t>
      </w:r>
      <w:r>
        <w:rPr>
          <w:rFonts w:ascii="Times New Roman" w:hAnsi="Times New Roman"/>
          <w:b/>
          <w:i w:val="false"/>
          <w:color w:val="000000"/>
          <w:sz w:val="22"/>
        </w:rPr>
        <w:t xml:space="preserve">(10A,17A) </w:t>
      </w:r>
      <w:r>
        <w:rPr>
          <w:rFonts w:ascii="Times New Roman" w:hAnsi="Times New Roman"/>
          <w:b/>
          <w:i w:val="false"/>
          <w:color w:val="000000"/>
          <w:sz w:val="22"/>
        </w:rPr>
        <w:t xml:space="preserve">Appeal when rehearing requested. </w:t>
      </w:r>
      <w:r>
        <w:rPr>
          <w:rFonts w:ascii="Times New Roman" w:hAnsi="Times New Roman"/>
          <w:b w:val="false"/>
          <w:i w:val="false"/>
          <w:color w:val="000000"/>
          <w:sz w:val="22"/>
        </w:rPr>
        <w:t xml:space="preserve">An appeal to or a review on a motion of the workers’ compensation commissioner must be filed within 20 days after the application for rehearing of a proposed decision by a deputy workers’ compensation commissioner under rule </w:t>
      </w:r>
      <w:hyperlink r:id="rId149">
        <w:r>
          <w:rPr>
            <w:rStyle w:val="Hyperlink"/>
            <w:rFonts w:ascii="Times New Roman" w:hAnsi="Times New Roman"/>
            <w:b w:val="false"/>
            <w:i w:val="false"/>
            <w:color w:val="000000"/>
            <w:sz w:val="22"/>
          </w:rPr>
          <w:t>876—2506.52</w:t>
        </w:r>
      </w:hyperlink>
      <w:r>
        <w:rPr>
          <w:rFonts w:ascii="Times New Roman" w:hAnsi="Times New Roman"/>
          <w:b w:val="false"/>
          <w:i w:val="false"/>
          <w:color w:val="000000"/>
          <w:sz w:val="22"/>
        </w:rPr>
        <w:t>(10A,17A,85,85A,85B) has been denied or deemed denied or a decision on rehearing has been issued. If a notice of appeal is filed by one party and an application for rehearing is filed by a different party, the deputy retains jurisdiction to act on the application for rehearing, and the notice of appeal is stayed and deemed to have been filed on the day after the application for rehearing is denied or deemed denied or the decision on rehearing is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0">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876—2506.54</w:t>
      </w:r>
      <w:r>
        <w:rPr>
          <w:rFonts w:ascii="Times New Roman" w:hAnsi="Times New Roman"/>
          <w:b/>
          <w:i w:val="false"/>
          <w:color w:val="000000"/>
          <w:sz w:val="22"/>
        </w:rPr>
        <w:t xml:space="preserve">(10A,17A)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153">
        <w:r>
          <w:rPr>
            <w:rStyle w:val="Hyperlink"/>
            <w:rFonts w:ascii="Times New Roman" w:hAnsi="Times New Roman"/>
            <w:b w:val="false"/>
            <w:i w:val="false"/>
            <w:color w:val="000000"/>
            <w:sz w:val="22"/>
          </w:rPr>
          <w:t>876—2506.33</w:t>
        </w:r>
      </w:hyperlink>
      <w:r>
        <w:rPr>
          <w:rFonts w:ascii="Times New Roman" w:hAnsi="Times New Roman"/>
          <w:b w:val="false"/>
          <w:i w:val="false"/>
          <w:color w:val="000000"/>
          <w:sz w:val="22"/>
        </w:rPr>
        <w:t xml:space="preserve">(10A) and </w:t>
      </w:r>
      <w:hyperlink r:id="rId154">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 xml:space="preserve">(10A,17A), an appeal to the commissioner from a decision, order or ruling of a deputy commissioner in contested case proceedings shall be commenced within 20 days of the filing of the decision, order or ruling by filing a notice of appeal with the workers’ compensation commissioner. If two or more contested cases were consolidated for hearing, the notice of appeal shall specify which of the contested cases are being appealed. The date the notice of appeal is filed shall be the date the notice of appeal is received by the agency. The notice shall be served on the opposing parties as provided in rule </w:t>
      </w:r>
      <w:hyperlink r:id="rId155">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 An appeal shall be heard in Polk County or in any location designated by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interlocutory decision, order or ruling can be appealed only as hereinafter provided. A decision, order or ruling is interlocutory if, when issued, it does not dispose of all issues in the contested case that are ripe for adjudication. If the sole issue remaining for determination is claimant’s entitlement to additional compensation for unreasonable denial or delay of payment pursuant to Iowa Code section </w:t>
      </w:r>
      <w:hyperlink r:id="rId156">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the decision is not interlocutory. An adjudication that awards ongoing payments of weekly compensation under Iowa Code section </w:t>
      </w:r>
      <w:hyperlink r:id="rId157">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 xml:space="preserve"> or </w:t>
      </w:r>
      <w:hyperlink r:id="rId158">
        <w:r>
          <w:rPr>
            <w:rStyle w:val="Hyperlink"/>
            <w:rFonts w:ascii="Times New Roman" w:hAnsi="Times New Roman"/>
            <w:b w:val="false"/>
            <w:i w:val="false"/>
            <w:color w:val="000000"/>
            <w:sz w:val="22"/>
          </w:rPr>
          <w:t>85.34(1)</w:t>
        </w:r>
      </w:hyperlink>
      <w:r>
        <w:rPr>
          <w:rFonts w:ascii="Times New Roman" w:hAnsi="Times New Roman"/>
          <w:b w:val="false"/>
          <w:i w:val="false"/>
          <w:color w:val="000000"/>
          <w:sz w:val="22"/>
        </w:rPr>
        <w:t xml:space="preserve"> is not interlocutory. The workers’ compensation commissioner may, upon application from any party or on the commissioner’s own motion, and upon such terms as the commissioner orders, grant an appeal from an interlocutory decision, order or ruling if the commissioner finds that the ruling affects substantial rights, that the ruling will materially affect the final decision and that determination of the correctness of the ruling will better serve the interests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2506.54(3)</w:t>
      </w:r>
      <w:r>
        <w:rPr>
          <w:rFonts w:ascii="Times New Roman" w:hAnsi="Times New Roman"/>
          <w:b w:val="false"/>
          <w:i w:val="false"/>
          <w:color w:val="000000"/>
          <w:sz w:val="22"/>
        </w:rPr>
        <w:t> </w:t>
      </w:r>
      <w:r>
        <w:rPr>
          <w:rFonts w:ascii="Times New Roman" w:hAnsi="Times New Roman"/>
          <w:b w:val="false"/>
          <w:i w:val="false"/>
          <w:color w:val="000000"/>
          <w:sz w:val="22"/>
        </w:rPr>
        <w:t xml:space="preserve">A cross-appeal may be taken under this rule or rule </w:t>
      </w:r>
      <w:hyperlink r:id="rId159">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(10A,17A) in the same manner as an appeal within the 20 days for the taking of an appeal or within 10 days after filing of the appeal,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876—2506.55</w:t>
      </w:r>
      <w:r>
        <w:rPr>
          <w:rFonts w:ascii="Times New Roman" w:hAnsi="Times New Roman"/>
          <w:b/>
          <w:i w:val="false"/>
          <w:color w:val="000000"/>
          <w:sz w:val="22"/>
        </w:rPr>
        <w:t xml:space="preserve">(10A) </w:t>
      </w:r>
      <w:r>
        <w:rPr>
          <w:rFonts w:ascii="Times New Roman" w:hAnsi="Times New Roman"/>
          <w:b/>
          <w:i w:val="false"/>
          <w:color w:val="000000"/>
          <w:sz w:val="22"/>
        </w:rPr>
        <w:t xml:space="preserve">Briefing requirements on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2506.55(1)</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commissioner shall decide an appeal upon the record submitted to the deputy workers’ compensation commissioner unless the workers’ compensation commissioner is satisfied that additional newly discovered material evidence exists, which could not have been discovered and produced at the hearing with reasonable diligence. A party must file a request for taking additional evidence in WCES within 20 days after the notice of appeal was filed. If a party has been granted a waiver of the mandatory use of WCES, the party shall file the request for taking additional evidence with the division of workers’ compensation and serve a copy on the other parties. Any briefs required or allowed by this rule shall be filed promptly following service. The agency will take additional evidence only if the party establishes that the evidence is material, that good cause existed for its not being presented at the hearing, and that the party has not waived the right to present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2506.55(2)</w:t>
      </w:r>
      <w:r>
        <w:rPr>
          <w:rFonts w:ascii="Times New Roman" w:hAnsi="Times New Roman"/>
          <w:b w:val="false"/>
          <w:i w:val="false"/>
          <w:color w:val="000000"/>
          <w:sz w:val="22"/>
        </w:rPr>
        <w:t> </w:t>
      </w:r>
      <w:r>
        <w:rPr>
          <w:rFonts w:ascii="Times New Roman" w:hAnsi="Times New Roman"/>
          <w:b w:val="false"/>
          <w:i w:val="false"/>
          <w:color w:val="000000"/>
          <w:sz w:val="22"/>
        </w:rPr>
        <w:t>Time for serving briefs. An appellant shall serve the appellant’s brief within 50 days after the date on which the notice of appeal was filed, or within 20 days after the filing of the hearing transcript, whichever date is later. An appellee shall serve the appellee’s brief within 20 days after service of the brief of the appellant. If the appellant serves a reply brief, it shall be done within 10 days after service of the appellee’s brief.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2506.55(3)</w:t>
      </w:r>
      <w:r>
        <w:rPr>
          <w:rFonts w:ascii="Times New Roman" w:hAnsi="Times New Roman"/>
          <w:b w:val="false"/>
          <w:i w:val="false"/>
          <w:color w:val="000000"/>
          <w:sz w:val="22"/>
        </w:rPr>
        <w:t> </w:t>
      </w:r>
      <w:r>
        <w:rPr>
          <w:rFonts w:ascii="Times New Roman" w:hAnsi="Times New Roman"/>
          <w:b w:val="false"/>
          <w:i w:val="false"/>
          <w:color w:val="000000"/>
          <w:sz w:val="22"/>
        </w:rPr>
        <w:t>Cross-appeals. In the event of a cross-appeal, an appellee (cross-appellant) shall serve the appellee’s brief within 20 days after service of the brief of an appellant. The appellant (cross-appellee) shall serve the appellant’s responsive reply brief within 20 days after service of the brief of the appellee. The appellee (cross-appellant) may serve a reply brief within 10 days after service of the appellant’s reply brief. When more than one party appeals, the party filing the first notice of appeal will be designated the appellant and the party filing a subsequent notice of appeal will be designated the cross-appellant.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2506.55(4)</w:t>
      </w:r>
      <w:r>
        <w:rPr>
          <w:rFonts w:ascii="Times New Roman" w:hAnsi="Times New Roman"/>
          <w:b w:val="false"/>
          <w:i w:val="false"/>
          <w:color w:val="000000"/>
          <w:sz w:val="22"/>
        </w:rPr>
        <w:t> </w:t>
      </w:r>
      <w:r>
        <w:rPr>
          <w:rFonts w:ascii="Times New Roman" w:hAnsi="Times New Roman"/>
          <w:b w:val="false"/>
          <w:i w:val="false"/>
          <w:color w:val="000000"/>
          <w:sz w:val="22"/>
        </w:rPr>
        <w:t>Multiple adverse parties. In cases involving multiple appeals involving multiple claimants, employers, insurance carriers or the second injury fund, the workers’ compensation commissioner shall enter an order establishing a briefing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2506.55(5)</w:t>
      </w:r>
      <w:r>
        <w:rPr>
          <w:rFonts w:ascii="Times New Roman" w:hAnsi="Times New Roman"/>
          <w:b w:val="false"/>
          <w:i w:val="false"/>
          <w:color w:val="000000"/>
          <w:sz w:val="22"/>
        </w:rPr>
        <w:t> </w:t>
      </w:r>
      <w:r>
        <w:rPr>
          <w:rFonts w:ascii="Times New Roman" w:hAnsi="Times New Roman"/>
          <w:b w:val="false"/>
          <w:i w:val="false"/>
          <w:color w:val="000000"/>
          <w:sz w:val="22"/>
        </w:rPr>
        <w:t>Form of briefs. Respective briefs and exceptions on appeal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of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corresponding to the separately stated issues and contentions of an appellant with respect to the issues presented and reasons for them, with specific reference to the page or pages of the transcript that are material to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conclusion stating the precise relief sought.</w:t>
      </w:r>
    </w:p>
    <w:p>
      <w:pPr>
        <w:spacing w:before="0" w:after="0"/>
        <w:ind w:left="120"/>
        <w:jc w:val="both"/>
      </w:pPr>
      <w:r>
        <w:rPr>
          <w:rFonts w:ascii="Times New Roman" w:hAnsi="Times New Roman"/>
          <w:b w:val="false"/>
          <w:i w:val="false"/>
          <w:color w:val="000000"/>
          <w:sz w:val="22"/>
        </w:rPr>
        <w:t>An appellee may submit a brief on appeal replying to the issues presented by the appellant unless a cross-appeal is made in which case the brief of the appellee shall contain the issues and argument involved in the cross-appeal as well as the response to the brief of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2506.55(6)</w:t>
      </w:r>
      <w:r>
        <w:rPr>
          <w:rFonts w:ascii="Times New Roman" w:hAnsi="Times New Roman"/>
          <w:b w:val="false"/>
          <w:i w:val="false"/>
          <w:color w:val="000000"/>
          <w:sz w:val="22"/>
        </w:rPr>
        <w:t> </w:t>
      </w:r>
      <w:r>
        <w:rPr>
          <w:rFonts w:ascii="Times New Roman" w:hAnsi="Times New Roman"/>
          <w:b w:val="false"/>
          <w:i w:val="false"/>
          <w:color w:val="000000"/>
          <w:sz w:val="22"/>
        </w:rPr>
        <w:t xml:space="preserve">Length of briefs. More information can be found in rule </w:t>
      </w:r>
      <w:hyperlink r:id="rId162">
        <w:r>
          <w:rPr>
            <w:rStyle w:val="Hyperlink"/>
            <w:rFonts w:ascii="Times New Roman" w:hAnsi="Times New Roman"/>
            <w:b w:val="false"/>
            <w:i w:val="false"/>
            <w:color w:val="000000"/>
            <w:sz w:val="22"/>
          </w:rPr>
          <w:t>876—2506.63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2506.55(7)</w:t>
      </w:r>
      <w:r>
        <w:rPr>
          <w:rFonts w:ascii="Times New Roman" w:hAnsi="Times New Roman"/>
          <w:b w:val="false"/>
          <w:i w:val="false"/>
          <w:color w:val="000000"/>
          <w:sz w:val="22"/>
        </w:rPr>
        <w:t> </w:t>
      </w:r>
      <w:r>
        <w:rPr>
          <w:rFonts w:ascii="Times New Roman" w:hAnsi="Times New Roman"/>
          <w:b w:val="false"/>
          <w:i w:val="false"/>
          <w:color w:val="000000"/>
          <w:sz w:val="22"/>
        </w:rPr>
        <w:t>Extensions. One extension of up to 30 days will be granted if a motion to extend the time is served on or before the date service of the brief that is required by this rule. A subsequent extension requires a motion showing good cause. The commissioner may grant a party the right to serve and file a brief after the time to do so has expired if the appeal or cross-appeal has not been dismissed or decided, the party moves for relief within 60 days from the date service of the brief was due, and the motion shows that the failure to timely serve the brief was due to a good cause that could not have been avoided through the exercise of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2506.55(8)</w:t>
      </w:r>
      <w:r>
        <w:rPr>
          <w:rFonts w:ascii="Times New Roman" w:hAnsi="Times New Roman"/>
          <w:b w:val="false"/>
          <w:i w:val="false"/>
          <w:color w:val="000000"/>
          <w:sz w:val="22"/>
        </w:rPr>
        <w:t> </w:t>
      </w:r>
      <w:r>
        <w:rPr>
          <w:rFonts w:ascii="Times New Roman" w:hAnsi="Times New Roman"/>
          <w:b w:val="false"/>
          <w:i w:val="false"/>
          <w:color w:val="000000"/>
          <w:sz w:val="22"/>
        </w:rPr>
        <w:t xml:space="preserve">Issues considered on appeal. The appeal will consider the issues presented for review by the appellant and cross-appellant in their briefs and any issues necessarily incident to or dependent upon the issues that are expressly raised, except as provided in rule </w:t>
      </w:r>
      <w:hyperlink r:id="rId163">
        <w:r>
          <w:rPr>
            <w:rStyle w:val="Hyperlink"/>
            <w:rFonts w:ascii="Times New Roman" w:hAnsi="Times New Roman"/>
            <w:b w:val="false"/>
            <w:i w:val="false"/>
            <w:color w:val="000000"/>
            <w:sz w:val="22"/>
          </w:rPr>
          <w:t>876—2506.56</w:t>
        </w:r>
      </w:hyperlink>
      <w:r>
        <w:rPr>
          <w:rFonts w:ascii="Times New Roman" w:hAnsi="Times New Roman"/>
          <w:b w:val="false"/>
          <w:i w:val="false"/>
          <w:color w:val="000000"/>
          <w:sz w:val="22"/>
        </w:rPr>
        <w:t>(10A,17A). An issue will not be considered on appeal if the issue could have been but was not presented to the deputy workers’ compensation commissioner. An issue raised on appeal is decided de novo and the scope of the issue is viewed broadly. If the ruling from which the appeal was taken made a choice between alternative findings of fact, conclusions of law, theories of recovery or defenses and the alternative selected in the ruling is challenged as an issue on appeal, de novo review includes reconsideration of all alternatives that were available to the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2506.55(9)</w:t>
      </w:r>
      <w:r>
        <w:rPr>
          <w:rFonts w:ascii="Times New Roman" w:hAnsi="Times New Roman"/>
          <w:b w:val="false"/>
          <w:i w:val="false"/>
          <w:color w:val="000000"/>
          <w:sz w:val="22"/>
        </w:rPr>
        <w:t> </w:t>
      </w:r>
      <w:r>
        <w:rPr>
          <w:rFonts w:ascii="Times New Roman" w:hAnsi="Times New Roman"/>
          <w:b w:val="false"/>
          <w:i w:val="false"/>
          <w:color w:val="000000"/>
          <w:sz w:val="22"/>
        </w:rPr>
        <w:t>Sanctions. If an appellant’s brief or cross-appellant’s brief is not served and filed within the time required by this rule, including any extension, the party defending against the appeal or cross-appeal may move for dismissal. If an appellant’s brief or cross-appellant’s brief is not served within 30 days after the time required by these rules, including any extension, the workers’ compensation commissioner will notify the party in default that upon 15 days from service of the notification the appeal or cross-appeal will be dismissed for want of prosecution unless the default is remedied within that period. If the default is not remedied, the appeal or cross-appeal will be dismissed. If an appellee’s brief or a cross-appellee’s brief is not served and filed, the appeal will be decided without reference to that brief.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4">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876—2506.56</w:t>
      </w:r>
      <w:r>
        <w:rPr>
          <w:rFonts w:ascii="Times New Roman" w:hAnsi="Times New Roman"/>
          <w:b/>
          <w:i w:val="false"/>
          <w:color w:val="000000"/>
          <w:sz w:val="22"/>
        </w:rPr>
        <w:t xml:space="preserve">(10A,17A) </w:t>
      </w:r>
      <w:r>
        <w:rPr>
          <w:rFonts w:ascii="Times New Roman" w:hAnsi="Times New Roman"/>
          <w:b/>
          <w:i w:val="false"/>
          <w:color w:val="000000"/>
          <w:sz w:val="22"/>
        </w:rPr>
        <w:t xml:space="preserve">Review upon motion. </w:t>
      </w:r>
      <w:r>
        <w:rPr>
          <w:rFonts w:ascii="Times New Roman" w:hAnsi="Times New Roman"/>
          <w:b w:val="false"/>
          <w:i w:val="false"/>
          <w:color w:val="000000"/>
          <w:sz w:val="22"/>
        </w:rPr>
        <w:t xml:space="preserve">Except as provided in rule </w:t>
      </w:r>
      <w:hyperlink r:id="rId165">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 xml:space="preserve">(10A,17A), the workers’ compensation commissioner may review the decision, order or ruling of a deputy workers’ compensation commissioner in any contested case upon the workers’ compensation commissioner’s own motion. Except as provided in rule </w:t>
      </w:r>
      <w:hyperlink r:id="rId166">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(10A,17A), the motion to review a decision, order or ruling in all contested cases must be filed within 20 days of the filing of the decision, order or ruling. The workers’ compensation commissioner shall specify in a notice filed in WCES or mailed to the parties by certified mail, return receipt requested, on the date of filing of the motion the issues to be reviewed and the additional evidence, if any, to be obtained by the parties. The hearing under this rule shall be heard in Polk County or in any locality designated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7">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876—2506.57</w:t>
      </w:r>
      <w:r>
        <w:rPr>
          <w:rFonts w:ascii="Times New Roman" w:hAnsi="Times New Roman"/>
          <w:b/>
          <w:i w:val="false"/>
          <w:color w:val="000000"/>
          <w:sz w:val="22"/>
        </w:rPr>
        <w:t xml:space="preserve">(10A,17A) </w:t>
      </w:r>
      <w:r>
        <w:rPr>
          <w:rFonts w:ascii="Times New Roman" w:hAnsi="Times New Roman"/>
          <w:b/>
          <w:i w:val="false"/>
          <w:color w:val="000000"/>
          <w:sz w:val="22"/>
        </w:rPr>
        <w:t xml:space="preserve">Transcript on appeal or review. </w:t>
      </w:r>
      <w:r>
        <w:rPr>
          <w:rFonts w:ascii="Times New Roman" w:hAnsi="Times New Roman"/>
          <w:b w:val="false"/>
          <w:i w:val="false"/>
          <w:color w:val="000000"/>
          <w:sz w:val="22"/>
        </w:rPr>
        <w:t xml:space="preserve">When an appeal to or a review on a motion of the workers’ compensation commissioner is taken pursuant to rule </w:t>
      </w:r>
      <w:hyperlink r:id="rId169">
        <w:r>
          <w:rPr>
            <w:rStyle w:val="Hyperlink"/>
            <w:rFonts w:ascii="Times New Roman" w:hAnsi="Times New Roman"/>
            <w:b w:val="false"/>
            <w:i w:val="false"/>
            <w:color w:val="000000"/>
            <w:sz w:val="22"/>
          </w:rPr>
          <w:t>876—2506.54</w:t>
        </w:r>
      </w:hyperlink>
      <w:r>
        <w:rPr>
          <w:rFonts w:ascii="Times New Roman" w:hAnsi="Times New Roman"/>
          <w:b w:val="false"/>
          <w:i w:val="false"/>
          <w:color w:val="000000"/>
          <w:sz w:val="22"/>
        </w:rPr>
        <w:t xml:space="preserve">(10A,17A) or </w:t>
      </w:r>
      <w:hyperlink r:id="rId170">
        <w:r>
          <w:rPr>
            <w:rStyle w:val="Hyperlink"/>
            <w:rFonts w:ascii="Times New Roman" w:hAnsi="Times New Roman"/>
            <w:b w:val="false"/>
            <w:i w:val="false"/>
            <w:color w:val="000000"/>
            <w:sz w:val="22"/>
          </w:rPr>
          <w:t>876—2506.56</w:t>
        </w:r>
      </w:hyperlink>
      <w:r>
        <w:rPr>
          <w:rFonts w:ascii="Times New Roman" w:hAnsi="Times New Roman"/>
          <w:b w:val="false"/>
          <w:i w:val="false"/>
          <w:color w:val="000000"/>
          <w:sz w:val="22"/>
        </w:rPr>
        <w:t>(10A,17A), a transcript of the proceedings before the workers’ compensation commissioner shall be filed with the workers’ compensation commissioner within 30 days after the notice of the appeal is filed with the workers’ compensation commissioner. The appealing party shall bear the initial cost of transcription on appeal and shall pay the certified shorthand reporter or service for the transcript. In the event there is a cross-appeal, the appellant and cross-appellant shall share the cost of the transcript. In the event the cost of the transcript has been initially borne by a nonappealing party prior to appeal, the nonappealing party is entitled to reimbursement within 30 days after serving on the appealing party proof of the cost of the transcript. If not so reimbursed, the appeal may be dismissed.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1">
        <w:r>
          <w:rPr>
            <w:rStyle w:val="Hyperlink"/>
            <w:rFonts w:ascii="Times New Roman" w:hAnsi="Times New Roman"/>
            <w:b w:val="false"/>
            <w:i w:val="false"/>
            <w:color w:val="000000"/>
            <w:sz w:val="22"/>
          </w:rPr>
          <w:t>10A.320</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10A.328</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876—2506.58</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Recording of proceedings. </w:t>
      </w:r>
      <w:r>
        <w:rPr>
          <w:rFonts w:ascii="Times New Roman" w:hAnsi="Times New Roman"/>
          <w:b w:val="false"/>
          <w:i w:val="false"/>
          <w:color w:val="000000"/>
          <w:sz w:val="22"/>
        </w:rPr>
        <w:t>The workers’ compensation commissioner may arrange for the attendance of a certified shorthand reporter or mechanical means to record proceedings in contested cases. The workers’ compensation commissioner may require a defendant employer or on appeal to the workers’ compensation commissioner, an appellant, to arrange for the attendance of a certified shorthand reporter or adequate mechanical means of recording the proceedings. The charges for attendance shall be paid initially to the certified shorthand reporter or service by the defendant employer or, on an appeal to the workers’ compensation commissioner, the appellant. The charges shall be taxed as costs. The party initially paying the expense shall be reimbursed by the party taxed with the cost. If the expense is unpaid, it shall be paid by the party taxed with the cost.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6">
        <w:r>
          <w:rPr>
            <w:rStyle w:val="Hyperlink"/>
            <w:rFonts w:ascii="Times New Roman" w:hAnsi="Times New Roman"/>
            <w:b w:val="false"/>
            <w:i w:val="false"/>
            <w:color w:val="000000"/>
            <w:sz w:val="22"/>
          </w:rPr>
          <w:t>10A.320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876—2506.59</w:t>
      </w:r>
      <w:r>
        <w:rPr>
          <w:rFonts w:ascii="Times New Roman" w:hAnsi="Times New Roman"/>
          <w:b/>
          <w:i w:val="false"/>
          <w:color w:val="000000"/>
          <w:sz w:val="22"/>
        </w:rPr>
        <w:t xml:space="preserve">(10A) </w:t>
      </w:r>
      <w:r>
        <w:rPr>
          <w:rFonts w:ascii="Times New Roman" w:hAnsi="Times New Roman"/>
          <w:b/>
          <w:i w:val="false"/>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2506.59(1)</w:t>
      </w:r>
      <w:r>
        <w:rPr>
          <w:rFonts w:ascii="Times New Roman" w:hAnsi="Times New Roman"/>
          <w:b w:val="false"/>
          <w:i w:val="false"/>
          <w:color w:val="000000"/>
          <w:sz w:val="22"/>
        </w:rPr>
        <w:t> </w:t>
      </w:r>
      <w:r>
        <w:rPr>
          <w:rFonts w:ascii="Times New Roman" w:hAnsi="Times New Roman"/>
          <w:b w:val="false"/>
          <w:i w:val="false"/>
          <w:color w:val="000000"/>
          <w:sz w:val="22"/>
        </w:rPr>
        <w:t>Costs taxed by the workers’ compensation commissioner or a deputy workers’ compensation commissioner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of a certified shorthand reporter or presence of mechanical means at hearings and evidential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Transcription costs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service of the original notice and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Witness fees and expenses as provided by Iowa Code sections </w:t>
      </w:r>
      <w:hyperlink r:id="rId177">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doctors’ and practitioners’ deposition testimony, provided that said costs do not exceed the amounts provided by Iowa Code sections </w:t>
      </w:r>
      <w:hyperlink r:id="rId179">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obtaining no more than two doctors’ or practitioners’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Filing fees when appropriate, including convenience fees incurred by using the WCES payment gateway;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Costs of persons reviewing health service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2506.59(2)</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service of notice and subpoenas shall be paid initially to the serving person or agency by the party utilizing the service. Expenses and fees of witnesses or of obtaining doctors’ or practitioners’ reports initially shall be paid to the witnesses, doctors or practitioners by the party on whose behalf the witness is called or by whom the report is requested. Witness fees shall be paid in accordance with Iowa Code section </w:t>
      </w:r>
      <w:hyperlink r:id="rId181">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Proof of payment of any cost shall be filed with the workers’ compensation commissioner before costs are taxed. The party initially paying the expense shall be reimbursed by the party taxed with the cost. If the expense is unpaid, it shall be paid by the party taxed with the cost. Costs are to be assessed at the discretion of the deputy workers’ compensation commissioner or workers’ compensation commissioner hearing the case unless otherwise required by the Iowa Rules of Civil Procedure governing discovery.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2">
        <w:r>
          <w:rPr>
            <w:rStyle w:val="Hyperlink"/>
            <w:rFonts w:ascii="Times New Roman" w:hAnsi="Times New Roman"/>
            <w:b w:val="false"/>
            <w:i w:val="false"/>
            <w:color w:val="000000"/>
            <w:sz w:val="22"/>
          </w:rPr>
          <w:t>10A.328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876—2506.60</w:t>
      </w:r>
      <w:r>
        <w:rPr>
          <w:rFonts w:ascii="Times New Roman" w:hAnsi="Times New Roman"/>
          <w:b/>
          <w:i w:val="false"/>
          <w:color w:val="000000"/>
          <w:sz w:val="22"/>
        </w:rPr>
        <w:t xml:space="preserve">(10A,17A) </w:t>
      </w:r>
      <w:r>
        <w:rPr>
          <w:rFonts w:ascii="Times New Roman" w:hAnsi="Times New Roman"/>
          <w:b/>
          <w:i w:val="false"/>
          <w:color w:val="000000"/>
          <w:sz w:val="22"/>
        </w:rPr>
        <w:t xml:space="preserve">Dismissal for lack of prosecution. </w:t>
      </w:r>
      <w:r>
        <w:rPr>
          <w:rFonts w:ascii="Times New Roman" w:hAnsi="Times New Roman"/>
          <w:b w:val="false"/>
          <w:i w:val="false"/>
          <w:color w:val="000000"/>
          <w:sz w:val="22"/>
        </w:rPr>
        <w:t>It is the declared policy that in the exercise of reasonable diligence, all contested cases before the workers’ compensation commissioner, except under unusual circumstances, shall be brought to issue and heard at the earliest possible time. To accomplish such purpose, the workers’ compensation commissioner may take the following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contested case, where the original notice and petition is on file in excess of two years, may be subject to dismissal after the notice described in subrule </w:t>
      </w:r>
      <w:hyperlink r:id="rId183">
        <w:r>
          <w:rPr>
            <w:rStyle w:val="Hyperlink"/>
            <w:rFonts w:ascii="Times New Roman" w:hAnsi="Times New Roman"/>
            <w:b w:val="false"/>
            <w:i w:val="false"/>
            <w:color w:val="000000"/>
            <w:sz w:val="22"/>
          </w:rPr>
          <w:t>2506.60(2)</w:t>
        </w:r>
      </w:hyperlink>
      <w:r>
        <w:rPr>
          <w:rFonts w:ascii="Times New Roman" w:hAnsi="Times New Roman"/>
          <w:b w:val="false"/>
          <w:i w:val="false"/>
          <w:color w:val="000000"/>
          <w:sz w:val="22"/>
        </w:rPr>
        <w:t xml:space="preserve"> is sent to all parties and after the time as provided for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circumstances provided in subrule </w:t>
      </w:r>
      <w:hyperlink r:id="rId184">
        <w:r>
          <w:rPr>
            <w:rStyle w:val="Hyperlink"/>
            <w:rFonts w:ascii="Times New Roman" w:hAnsi="Times New Roman"/>
            <w:b w:val="false"/>
            <w:i w:val="false"/>
            <w:color w:val="000000"/>
            <w:sz w:val="22"/>
          </w:rPr>
          <w:t>2506.60(1)</w:t>
        </w:r>
      </w:hyperlink>
      <w:r>
        <w:rPr>
          <w:rFonts w:ascii="Times New Roman" w:hAnsi="Times New Roman"/>
          <w:b w:val="false"/>
          <w:i w:val="false"/>
          <w:color w:val="000000"/>
          <w:sz w:val="22"/>
        </w:rPr>
        <w:t xml:space="preserve"> occur, all parties to the action, or their attorneys, shall be sent a notice from the division of workers’ compensation by certified mail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or dates of injury involved in the contested case or appeal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Counsel appearing;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filing of the petition 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contested case proceeding will be dismissed without prejudice on the thirtieth day following the date of the notice unless good cause is shown why the contested case proceeding should not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2506.60(3)</w:t>
      </w:r>
      <w:r>
        <w:rPr>
          <w:rFonts w:ascii="Times New Roman" w:hAnsi="Times New Roman"/>
          <w:b w:val="false"/>
          <w:i w:val="false"/>
          <w:color w:val="000000"/>
          <w:sz w:val="22"/>
        </w:rPr>
        <w:t> </w:t>
      </w:r>
      <w:r>
        <w:rPr>
          <w:rFonts w:ascii="Times New Roman" w:hAnsi="Times New Roman"/>
          <w:b w:val="false"/>
          <w:i w:val="false"/>
          <w:color w:val="000000"/>
          <w:sz w:val="22"/>
        </w:rPr>
        <w:t>The action or actions dismissed may, at the discretion of the workers’ compensation commissioner, and shall, upon a showing that such dismissal was the result of oversight, mistake or other reasonable cause, be reinstated. Applications for such reinstatement, setting forth the grounds, shall be filed within three months from the date of dismissal.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5">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876—2506.61</w:t>
      </w:r>
      <w:r>
        <w:rPr>
          <w:rFonts w:ascii="Times New Roman" w:hAnsi="Times New Roman"/>
          <w:b/>
          <w:i w:val="false"/>
          <w:color w:val="000000"/>
          <w:sz w:val="22"/>
        </w:rPr>
        <w:t xml:space="preserve">(10A,17A) </w:t>
      </w:r>
      <w:r>
        <w:rPr>
          <w:rFonts w:ascii="Times New Roman" w:hAnsi="Times New Roman"/>
          <w:b/>
          <w:i w:val="false"/>
          <w:color w:val="000000"/>
          <w:sz w:val="22"/>
        </w:rPr>
        <w:t xml:space="preserve">Rules of civil procedure. </w:t>
      </w:r>
      <w:r>
        <w:rPr>
          <w:rFonts w:ascii="Times New Roman" w:hAnsi="Times New Roman"/>
          <w:b w:val="false"/>
          <w:i w:val="false"/>
          <w:color w:val="000000"/>
          <w:sz w:val="22"/>
        </w:rPr>
        <w:t xml:space="preserve">The rules of civil procedure shall govern the contested case proceedings before the workers’ compensation commissioner unless the provisions are in conflict with these rules and Iowa Code chapters </w:t>
      </w:r>
      <w:hyperlink r:id="rId18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9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9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In those circumstances, these rules or the appropriate Iowa Code section shall govern. Where appropriate, reference to the word “court” shall be deemed reference to the “workers’ compensation commissioner” and reference to the word “trial” shall be deemed reference to “contested case hearing.”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4">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195">
        <w:r>
          <w:rPr>
            <w:rStyle w:val="Hyperlink"/>
            <w:rFonts w:ascii="Times New Roman" w:hAnsi="Times New Roman"/>
            <w:b w:val="false"/>
            <w:i w:val="false"/>
            <w:color w:val="000000"/>
            <w:sz w:val="22"/>
          </w:rPr>
          <w:t>17A.1</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through </w:t>
      </w:r>
      <w:hyperlink r:id="rId19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876—2506.62</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with order or rules. </w:t>
      </w:r>
      <w:r>
        <w:rPr>
          <w:rFonts w:ascii="Times New Roman" w:hAnsi="Times New Roman"/>
          <w:b w:val="false"/>
          <w:i w:val="false"/>
          <w:color w:val="000000"/>
          <w:sz w:val="22"/>
        </w:rPr>
        <w:t>If any party to a contested case or an attorney representing such party shall fail to comply with these rules or any order of a deputy workers’ compensation commissioner or the workers’ compensation commissioner, the deputy workers’ compensation commissioner or workers’ compensation commissioner may impose sanctions that may include dismissing the action without prejudice, excluding or limiting evidence, assessing costs or expenses, and closing the record in whole or in part to further activity by the party.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876—2506.63</w:t>
      </w:r>
      <w:r>
        <w:rPr>
          <w:rFonts w:ascii="Times New Roman" w:hAnsi="Times New Roman"/>
          <w:b/>
          <w:i w:val="false"/>
          <w:color w:val="000000"/>
          <w:sz w:val="22"/>
        </w:rPr>
        <w:t xml:space="preserve">(10A,17A) </w:t>
      </w:r>
      <w:r>
        <w:rPr>
          <w:rFonts w:ascii="Times New Roman" w:hAnsi="Times New Roman"/>
          <w:b/>
          <w:i w:val="false"/>
          <w:color w:val="000000"/>
          <w:sz w:val="22"/>
        </w:rPr>
        <w:t xml:space="preserve">Length of briefs. </w:t>
      </w:r>
      <w:r>
        <w:rPr>
          <w:rFonts w:ascii="Times New Roman" w:hAnsi="Times New Roman"/>
          <w:b w:val="false"/>
          <w:i w:val="false"/>
          <w:color w:val="000000"/>
          <w:sz w:val="22"/>
        </w:rPr>
        <w:t xml:space="preserve">Except by permission of the presiding deputy workers’ compensation commissioner or by permission of the workers’ compensation commissioner when an appeal pursuant to rule </w:t>
      </w:r>
      <w:hyperlink r:id="rId199">
        <w:r>
          <w:rPr>
            <w:rStyle w:val="Hyperlink"/>
            <w:rFonts w:ascii="Times New Roman" w:hAnsi="Times New Roman"/>
            <w:b w:val="false"/>
            <w:i w:val="false"/>
            <w:color w:val="000000"/>
            <w:sz w:val="22"/>
          </w:rPr>
          <w:t>876—2506.54</w:t>
        </w:r>
      </w:hyperlink>
      <w:r>
        <w:rPr>
          <w:rFonts w:ascii="Times New Roman" w:hAnsi="Times New Roman"/>
          <w:b w:val="false"/>
          <w:i w:val="false"/>
          <w:color w:val="000000"/>
          <w:sz w:val="22"/>
        </w:rPr>
        <w:t>(10A,17A) has been filed, principal briefs shall not exceed 50 Arabic-numbered pages. Reply briefs shall not exceed 25 Arabic-numbered pages. In the event of a cross-appeal, an appellant’s (cross-appellee’s) responsive reply brief shall be considered a principal brief. The type used shall not be smaller than pica type, and each line shall contain an average of no more than 60 characters. If a brief is submitted in excess of the length allowed in this rule, the portion exceeding the allowable length will not be considered. This rule does not prohibit a presiding deputy workers’ compensation commissioner or the workers’ compensation commissioner from limiting the length of a brief. An exception to this rule is the length of briefs (three pages) in an application for alternate care.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0">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w:t>
      </w:r>
      <w:hyperlink r:id="rId202">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w:t>
      </w:r>
      <w:hyperlink r:id="rId20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204">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876—2506.64</w:t>
      </w:r>
      <w:r>
        <w:rPr>
          <w:rFonts w:ascii="Times New Roman" w:hAnsi="Times New Roman"/>
          <w:b/>
          <w:i w:val="false"/>
          <w:color w:val="000000"/>
          <w:sz w:val="22"/>
        </w:rPr>
        <w:t xml:space="preserve">(10A,17A,85) </w:t>
      </w:r>
      <w:r>
        <w:rPr>
          <w:rFonts w:ascii="Times New Roman" w:hAnsi="Times New Roman"/>
          <w:b/>
          <w:i w:val="false"/>
          <w:color w:val="000000"/>
          <w:sz w:val="22"/>
        </w:rPr>
        <w:t xml:space="preserve">Contested case proceedings—health service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2506.64(1)</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about informal resolution procedures and definitions can be found in rule </w:t>
      </w:r>
      <w:hyperlink r:id="rId205">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 The following definition also applies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“Petitioning party”</w:t>
      </w:r>
      <w:r>
        <w:rPr>
          <w:rFonts w:ascii="Times New Roman" w:hAnsi="Times New Roman"/>
          <w:b w:val="false"/>
          <w:i w:val="false"/>
          <w:color w:val="000000"/>
          <w:sz w:val="22"/>
        </w:rPr>
        <w:t> </w:t>
      </w:r>
      <w:r>
        <w:rPr>
          <w:rFonts w:ascii="Times New Roman" w:hAnsi="Times New Roman"/>
          <w:b w:val="false"/>
          <w:i w:val="false"/>
          <w:color w:val="000000"/>
          <w:sz w:val="22"/>
        </w:rPr>
        <w:t>means the person who requests or initiates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2506.64(2)</w:t>
      </w:r>
      <w:r>
        <w:rPr>
          <w:rFonts w:ascii="Times New Roman" w:hAnsi="Times New Roman"/>
          <w:b w:val="false"/>
          <w:i w:val="false"/>
          <w:color w:val="000000"/>
          <w:sz w:val="22"/>
        </w:rPr>
        <w:t> </w:t>
      </w:r>
      <w:r>
        <w:rPr>
          <w:rFonts w:ascii="Times New Roman" w:hAnsi="Times New Roman"/>
          <w:b w:val="false"/>
          <w:i w:val="false"/>
          <w:color w:val="000000"/>
          <w:sz w:val="22"/>
        </w:rPr>
        <w:t xml:space="preserve">If utilization of the procedures given in rule </w:t>
      </w:r>
      <w:hyperlink r:id="rId206">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does not resolve the dispute and the parties have complied with the good faith requirements of rule </w:t>
      </w:r>
      <w:hyperlink r:id="rId207">
        <w:r>
          <w:rPr>
            <w:rStyle w:val="Hyperlink"/>
            <w:rFonts w:ascii="Times New Roman" w:hAnsi="Times New Roman"/>
            <w:b w:val="false"/>
            <w:i w:val="false"/>
            <w:color w:val="000000"/>
            <w:sz w:val="22"/>
          </w:rPr>
          <w:t>876—10.1</w:t>
        </w:r>
      </w:hyperlink>
      <w:r>
        <w:rPr>
          <w:rFonts w:ascii="Times New Roman" w:hAnsi="Times New Roman"/>
          <w:b w:val="false"/>
          <w:i w:val="false"/>
          <w:color w:val="000000"/>
          <w:sz w:val="22"/>
        </w:rPr>
        <w:t xml:space="preserve">(17A,85,86), a contested case may be initiated. The procedures given in rule </w:t>
      </w:r>
      <w:hyperlink r:id="rId208">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must be used prior to initiation of a contested case. The provider or the responsible party that is unwilling to accept the determination of the person making a determination after reviewing the dispute as provided in rule </w:t>
      </w:r>
      <w:hyperlink r:id="rId209">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shall initiate the contested case proceeding. The proceeding shall be initiated as provided in this chapter and Iowa Code chapter </w:t>
      </w:r>
      <w:hyperlink r:id="rId2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shall follow the provisions of this rule. The proceeding must be initiated within 30 days of the date of the determination made pursuant to rule </w:t>
      </w:r>
      <w:hyperlink r:id="rId211">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If a contested case proceeding is not initiated or is not initiated within the time provided in this rule, the allowed amount of the charge by the provider shall be the amount determined pursuant to rule </w:t>
      </w:r>
      <w:hyperlink r:id="rId212">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evidence submitted in the contested case proceeding shall be limited to the evidence submitted pursuant to rule </w:t>
      </w:r>
      <w:hyperlink r:id="rId213">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and a copy of the determination made pursuant to rule </w:t>
      </w:r>
      <w:hyperlink r:id="rId214">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This evidence shall be filed by the party requesting the contested case proceeding at the time the contested case proceeding is initiated. However, the workers’ compensation commissioner may request that additional evidence be submitted or may grant submission of additional evidence if the workers’ compensation commissioner is satisfied that there exists additional material evidence, newly discovered, which could not with reasonable diligence be discovered and produced pursuant to rule </w:t>
      </w:r>
      <w:hyperlink r:id="rId215">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The issues of the contested case proceeding shall be limited to the dispute considered in rule </w:t>
      </w:r>
      <w:hyperlink r:id="rId216">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2506.64(4)</w:t>
      </w:r>
      <w:r>
        <w:rPr>
          <w:rFonts w:ascii="Times New Roman" w:hAnsi="Times New Roman"/>
          <w:b w:val="false"/>
          <w:i w:val="false"/>
          <w:color w:val="000000"/>
          <w:sz w:val="22"/>
        </w:rPr>
        <w:t> </w:t>
      </w:r>
      <w:r>
        <w:rPr>
          <w:rFonts w:ascii="Times New Roman" w:hAnsi="Times New Roman"/>
          <w:b w:val="false"/>
          <w:i w:val="false"/>
          <w:color w:val="000000"/>
          <w:sz w:val="22"/>
        </w:rPr>
        <w:t>The petitioning party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2506.64(5)</w:t>
      </w:r>
      <w:r>
        <w:rPr>
          <w:rFonts w:ascii="Times New Roman" w:hAnsi="Times New Roman"/>
          <w:b w:val="false"/>
          <w:i w:val="false"/>
          <w:color w:val="000000"/>
          <w:sz w:val="22"/>
        </w:rPr>
        <w:t> </w:t>
      </w:r>
      <w:r>
        <w:rPr>
          <w:rFonts w:ascii="Times New Roman" w:hAnsi="Times New Roman"/>
          <w:b w:val="false"/>
          <w:i w:val="false"/>
          <w:color w:val="000000"/>
          <w:sz w:val="22"/>
        </w:rPr>
        <w:t>If the petitioning party wishes to file a brief, the brief must be filed with the request for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2506.64(6)</w:t>
      </w:r>
      <w:r>
        <w:rPr>
          <w:rFonts w:ascii="Times New Roman" w:hAnsi="Times New Roman"/>
          <w:b w:val="false"/>
          <w:i w:val="false"/>
          <w:color w:val="000000"/>
          <w:sz w:val="22"/>
        </w:rPr>
        <w:t> </w:t>
      </w:r>
      <w:r>
        <w:rPr>
          <w:rFonts w:ascii="Times New Roman" w:hAnsi="Times New Roman"/>
          <w:b w:val="false"/>
          <w:i w:val="false"/>
          <w:color w:val="000000"/>
          <w:sz w:val="22"/>
        </w:rPr>
        <w:t>The opposing party must file a response within 30 days of the date of service of the request for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2506.64(7)</w:t>
      </w:r>
      <w:r>
        <w:rPr>
          <w:rFonts w:ascii="Times New Roman" w:hAnsi="Times New Roman"/>
          <w:b w:val="false"/>
          <w:i w:val="false"/>
          <w:color w:val="000000"/>
          <w:sz w:val="22"/>
        </w:rPr>
        <w:t> </w:t>
      </w:r>
      <w:r>
        <w:rPr>
          <w:rFonts w:ascii="Times New Roman" w:hAnsi="Times New Roman"/>
          <w:b w:val="false"/>
          <w:i w:val="false"/>
          <w:color w:val="000000"/>
          <w:sz w:val="22"/>
        </w:rPr>
        <w:t>If the opposing party wishes to file a brief, the brief must be filed with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2506.64(8)</w:t>
      </w:r>
      <w:r>
        <w:rPr>
          <w:rFonts w:ascii="Times New Roman" w:hAnsi="Times New Roman"/>
          <w:b w:val="false"/>
          <w:i w:val="false"/>
          <w:color w:val="000000"/>
          <w:sz w:val="22"/>
        </w:rPr>
        <w:t> </w:t>
      </w:r>
      <w:r>
        <w:rPr>
          <w:rFonts w:ascii="Times New Roman" w:hAnsi="Times New Roman"/>
          <w:b w:val="false"/>
          <w:i w:val="false"/>
          <w:color w:val="000000"/>
          <w:sz w:val="22"/>
        </w:rPr>
        <w:t>Sixty days after the request for a contested case is filed with the workers’ compensation commissioner, the workers’ compensation commissioner will review the matter. The notice of the review to the parties shall meet the provisions of this rule and no other notice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shall review the matter and make a decision as soon as practicable after the review. The decision shall be as provided in this chapter and Iowa Code chapter </w:t>
      </w:r>
      <w:hyperlink r:id="rId2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8">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 xml:space="preserve">, </w:t>
      </w:r>
      <w:hyperlink r:id="rId220">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2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w:t>
      </w:r>
      <w:hyperlink r:id="rId223">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876—2506.65</w:t>
      </w:r>
      <w:r>
        <w:rPr>
          <w:rFonts w:ascii="Times New Roman" w:hAnsi="Times New Roman"/>
          <w:b/>
          <w:i w:val="false"/>
          <w:color w:val="000000"/>
          <w:sz w:val="22"/>
        </w:rPr>
        <w:t xml:space="preserve">(10A,17A,85) </w:t>
      </w:r>
      <w:r>
        <w:rPr>
          <w:rFonts w:ascii="Times New Roman" w:hAnsi="Times New Roman"/>
          <w:b/>
          <w:i w:val="false"/>
          <w:color w:val="000000"/>
          <w:sz w:val="22"/>
        </w:rPr>
        <w:t xml:space="preserve">Application for alternate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alternate care within the time provided in Iowa Code section </w:t>
      </w:r>
      <w:hyperlink r:id="rId224">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 alternate care,”</w:t>
      </w:r>
      <w:r>
        <w:rPr>
          <w:rFonts w:ascii="Times New Roman" w:hAnsi="Times New Roman"/>
          <w:b w:val="false"/>
          <w:i w:val="false"/>
          <w:color w:val="000000"/>
          <w:sz w:val="22"/>
        </w:rPr>
        <w:t> </w:t>
      </w:r>
      <w:r>
        <w:rPr>
          <w:rFonts w:ascii="Times New Roman" w:hAnsi="Times New Roman"/>
          <w:b w:val="false"/>
          <w:i w:val="false"/>
          <w:color w:val="000000"/>
          <w:sz w:val="22"/>
        </w:rPr>
        <w:t xml:space="preserve">hereinafter referred to as “application,” shall mean a contested case proceeding filed with the workers’ compensation commissioner that requests alternate care pursuant to Iowa Code section </w:t>
      </w:r>
      <w:hyperlink r:id="rId22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or entity that is liable for payment of medical services provided pursuant to the Iowa workers’ compensation laws and includes an employer, an employer who has been relieved from insurance pursuant to Iowa Code section </w:t>
      </w:r>
      <w:hyperlink r:id="rId226">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and an insurance carrier that provides an employer with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for alternate care that complies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2506.65(3)</w:t>
      </w:r>
      <w:r>
        <w:rPr>
          <w:rFonts w:ascii="Times New Roman" w:hAnsi="Times New Roman"/>
          <w:b w:val="false"/>
          <w:i w:val="false"/>
          <w:color w:val="000000"/>
          <w:sz w:val="22"/>
        </w:rPr>
        <w:t> </w:t>
      </w:r>
      <w:r>
        <w:rPr>
          <w:rFonts w:ascii="Times New Roman" w:hAnsi="Times New Roman"/>
          <w:b w:val="false"/>
          <w:i/>
          <w:color w:val="000000"/>
          <w:sz w:val="22"/>
        </w:rPr>
        <w:t xml:space="preserve">Dissatisfaction—basis. </w:t>
      </w:r>
      <w:r>
        <w:rPr>
          <w:rFonts w:ascii="Times New Roman" w:hAnsi="Times New Roman"/>
          <w:b w:val="false"/>
          <w:i w:val="false"/>
          <w:color w:val="000000"/>
          <w:sz w:val="22"/>
        </w:rPr>
        <w:t>Prior to filing the application, the employee must communicate the basis of dissatisfaction of the care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filed on the form provided by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Concern only the issue of alternate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reasons for the employee’s dissatisfaction with the care chosen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served on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 proof of service on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2506.65(5)</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No filing fee is due. More information can be found in paragraph </w:t>
      </w:r>
      <w:hyperlink r:id="rId227">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2506.65(6)</w:t>
      </w:r>
      <w:r>
        <w:rPr>
          <w:rFonts w:ascii="Times New Roman" w:hAnsi="Times New Roman"/>
          <w:b w:val="false"/>
          <w:i w:val="false"/>
          <w:color w:val="000000"/>
          <w:sz w:val="22"/>
        </w:rPr>
        <w:t> </w:t>
      </w:r>
      <w:r>
        <w:rPr>
          <w:rFonts w:ascii="Times New Roman" w:hAnsi="Times New Roman"/>
          <w:b w:val="false"/>
          <w:i/>
          <w:color w:val="000000"/>
          <w:sz w:val="22"/>
        </w:rPr>
        <w:t xml:space="preserve">Employer liability. </w:t>
      </w:r>
      <w:r>
        <w:rPr>
          <w:rFonts w:ascii="Times New Roman" w:hAnsi="Times New Roman"/>
          <w:b w:val="false"/>
          <w:i w:val="false"/>
          <w:color w:val="000000"/>
          <w:sz w:val="22"/>
        </w:rPr>
        <w:t xml:space="preserve">Application cannot be filed under this rule if the liability of the employer is an issue. If an application is filed where the liability of the employer is an issue, the application will be dismissed without prejudice. (Petitions for alternate care where liability of the employer is an issue should be filed pursuant to subrule </w:t>
      </w:r>
      <w:hyperlink r:id="rId228">
        <w:r>
          <w:rPr>
            <w:rStyle w:val="Hyperlink"/>
            <w:rFonts w:ascii="Times New Roman" w:hAnsi="Times New Roman"/>
            <w:b w:val="false"/>
            <w:i w:val="false"/>
            <w:color w:val="000000"/>
            <w:sz w:val="22"/>
          </w:rPr>
          <w:t>2506.32(3)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will notify the parties by ordinary mail, by facsimile transmission (fax), by electronic mail (email), or by WCES of the time, place and nature of the hearing. No notice will be made until a proper application is received by the workers’ compensation commissioner. The notice will specify whether the hearing will be by telephone, in person or by digital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2506.65(8)</w:t>
      </w:r>
      <w:r>
        <w:rPr>
          <w:rFonts w:ascii="Times New Roman" w:hAnsi="Times New Roman"/>
          <w:b w:val="false"/>
          <w:i w:val="false"/>
          <w:color w:val="000000"/>
          <w:sz w:val="22"/>
        </w:rPr>
        <w:t> </w:t>
      </w:r>
      <w:r>
        <w:rPr>
          <w:rFonts w:ascii="Times New Roman" w:hAnsi="Times New Roman"/>
          <w:b w:val="false"/>
          <w:i/>
          <w:color w:val="000000"/>
          <w:sz w:val="22"/>
        </w:rPr>
        <w:t xml:space="preserve">Appearance or answer. </w:t>
      </w:r>
      <w:r>
        <w:rPr>
          <w:rFonts w:ascii="Times New Roman" w:hAnsi="Times New Roman"/>
          <w:b w:val="false"/>
          <w:i w:val="false"/>
          <w:color w:val="000000"/>
          <w:sz w:val="22"/>
        </w:rPr>
        <w:t>After being served with an application for alternate care, the employer shall file an appearance of answer as soon as practicable before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2506.65(9)</w:t>
      </w:r>
      <w:r>
        <w:rPr>
          <w:rFonts w:ascii="Times New Roman" w:hAnsi="Times New Roman"/>
          <w:b w:val="false"/>
          <w:i w:val="false"/>
          <w:color w:val="000000"/>
          <w:sz w:val="22"/>
        </w:rPr>
        <w:t> </w:t>
      </w:r>
      <w:r>
        <w:rPr>
          <w:rFonts w:ascii="Times New Roman" w:hAnsi="Times New Roman"/>
          <w:b w:val="false"/>
          <w:i/>
          <w:color w:val="000000"/>
          <w:sz w:val="22"/>
        </w:rPr>
        <w:t xml:space="preserve">Discovery and evidence. </w:t>
      </w:r>
      <w:r>
        <w:rPr>
          <w:rFonts w:ascii="Times New Roman" w:hAnsi="Times New Roman"/>
          <w:b w:val="false"/>
          <w:i w:val="false"/>
          <w:color w:val="000000"/>
          <w:sz w:val="22"/>
        </w:rPr>
        <w:t>All discovery must be completed prior to the contested case hearing. Any written evidence to be used by the employer or the employee must be exchanged prior to the hearing. All written evidence must be filed with the agency before the date of the hearing. Written evidence shall be limited to ten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2506.65(10)</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All motions except as provided in this subrule will be considered at the hearing. A timely motion to change the type of hearing (telephone or in-person) may be considered prior to the hearing. The workers’ compensation commissioner will make no rulings on discovery matters or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2506.65(11)</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three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hearing will be held by telephone, in person or by digital means in Des Moines, Iowa. The employer shall have the right to request an in-person hearing if the employee has requested a telephone hearing in the application. The employer shall on the record respond to the allegations contained in the application. The hearing will be electronically recorded. If there is an appeal of a proposed decision or judicial review of final agency action, the appealing party is responsible for filing a transcript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2506.65(13)</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 xml:space="preserve">Copies of the recording will be provided to the parties upon notice of appeal. A transcript shall be provided by the appealing party pursuant to Iowa Code section </w:t>
      </w:r>
      <w:hyperlink r:id="rId229">
        <w:r>
          <w:rPr>
            <w:rStyle w:val="Hyperlink"/>
            <w:rFonts w:ascii="Times New Roman" w:hAnsi="Times New Roman"/>
            <w:b w:val="false"/>
            <w:i w:val="false"/>
            <w:color w:val="000000"/>
            <w:sz w:val="22"/>
          </w:rPr>
          <w:t>10A.321(4)</w:t>
        </w:r>
      </w:hyperlink>
      <w:r>
        <w:rPr>
          <w:rFonts w:ascii="Times New Roman" w:hAnsi="Times New Roman"/>
          <w:b w:val="false"/>
          <w:i w:val="false"/>
          <w:color w:val="000000"/>
          <w:sz w:val="22"/>
        </w:rPr>
        <w:t xml:space="preserve">, and a copy thereof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230">
        <w:r>
          <w:rPr>
            <w:rStyle w:val="Hyperlink"/>
            <w:rFonts w:ascii="Times New Roman" w:hAnsi="Times New Roman"/>
            <w:b w:val="false"/>
            <w:i w:val="false"/>
            <w:color w:val="000000"/>
            <w:sz w:val="22"/>
          </w:rPr>
          <w:t>10A.320(1)</w:t>
        </w:r>
      </w:hyperlink>
      <w:r>
        <w:rPr>
          <w:rFonts w:ascii="Times New Roman" w:hAnsi="Times New Roman"/>
          <w:b w:val="false"/>
          <w:i w:val="false"/>
          <w:color w:val="000000"/>
          <w:sz w:val="22"/>
        </w:rPr>
        <w:t xml:space="preserve"> by the party that disputes the accuracy of the transcript prepared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2506.65(14)</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231">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10 working days of receipt of a proper application when a telephone hearing is held or within 14 working days of receipt of a proper application when an in-person hearing is held.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2">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23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876—2506.66</w:t>
      </w:r>
      <w:r>
        <w:rPr>
          <w:rFonts w:ascii="Times New Roman" w:hAnsi="Times New Roman"/>
          <w:b/>
          <w:i w:val="false"/>
          <w:color w:val="000000"/>
          <w:sz w:val="22"/>
        </w:rPr>
        <w:t xml:space="preserve">(10A,17A,85) </w:t>
      </w:r>
      <w:r>
        <w:rPr>
          <w:rFonts w:ascii="Times New Roman" w:hAnsi="Times New Roman"/>
          <w:b/>
          <w:i w:val="false"/>
          <w:color w:val="000000"/>
          <w:sz w:val="22"/>
        </w:rPr>
        <w:t xml:space="preserve">Method of holding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2506.66(1)</w:t>
      </w:r>
      <w:r>
        <w:rPr>
          <w:rFonts w:ascii="Times New Roman" w:hAnsi="Times New Roman"/>
          <w:b w:val="false"/>
          <w:i w:val="false"/>
          <w:color w:val="000000"/>
          <w:sz w:val="22"/>
        </w:rPr>
        <w:t> </w:t>
      </w:r>
      <w:r>
        <w:rPr>
          <w:rFonts w:ascii="Times New Roman" w:hAnsi="Times New Roman"/>
          <w:b w:val="false"/>
          <w:i w:val="false"/>
          <w:color w:val="000000"/>
          <w:sz w:val="22"/>
        </w:rPr>
        <w:t>Any hearing held under this chapter may be by voice or video technology, including but not limited to Internet-based video.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2506.66(2)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shall not be held in proceedings under subrules </w:t>
      </w:r>
      <w:hyperlink r:id="rId236">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 xml:space="preserve"> through </w:t>
      </w:r>
      <w:hyperlink r:id="rId237">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 xml:space="preserve"> unless otherwise ordered or requested in writing by the petitioner in the original notice and petition or by the respondent within ten days following the time allowed by these rules for appearance.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8">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240">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242">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876—2506.67</w:t>
      </w:r>
      <w:r>
        <w:rPr>
          <w:rFonts w:ascii="Times New Roman" w:hAnsi="Times New Roman"/>
          <w:b/>
          <w:i w:val="false"/>
          <w:color w:val="000000"/>
          <w:sz w:val="22"/>
        </w:rPr>
        <w:t xml:space="preserve">(10A,17A,85) </w:t>
      </w:r>
      <w:r>
        <w:rPr>
          <w:rFonts w:ascii="Times New Roman" w:hAnsi="Times New Roman"/>
          <w:b/>
          <w:i w:val="false"/>
          <w:color w:val="000000"/>
          <w:sz w:val="22"/>
        </w:rPr>
        <w:t xml:space="preserve">Vocational training, education,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vocational training, education, and supplies provided for in Iowa Code section </w:t>
      </w:r>
      <w:hyperlink r:id="rId243">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 vocational training and education hearing”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“application”</w:t>
      </w:r>
      <w:r>
        <w:rPr>
          <w:rFonts w:ascii="Times New Roman" w:hAnsi="Times New Roman"/>
          <w:b w:val="false"/>
          <w:i w:val="false"/>
          <w:color w:val="000000"/>
          <w:sz w:val="22"/>
        </w:rPr>
        <w:t> </w:t>
      </w:r>
      <w:r>
        <w:rPr>
          <w:rFonts w:ascii="Times New Roman" w:hAnsi="Times New Roman"/>
          <w:b w:val="false"/>
          <w:i w:val="false"/>
          <w:color w:val="000000"/>
          <w:sz w:val="22"/>
        </w:rPr>
        <w:t>means a contested case proceeding filed with the division of workers’ compensation contesting the results of an evaluation and determination or contesting or requesting the termination of a vocational training and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and determination”</w:t>
      </w:r>
      <w:r>
        <w:rPr>
          <w:rFonts w:ascii="Times New Roman" w:hAnsi="Times New Roman"/>
          <w:b w:val="false"/>
          <w:i w:val="false"/>
          <w:color w:val="000000"/>
          <w:sz w:val="22"/>
        </w:rPr>
        <w:t> </w:t>
      </w:r>
      <w:r>
        <w:rPr>
          <w:rFonts w:ascii="Times New Roman" w:hAnsi="Times New Roman"/>
          <w:b w:val="false"/>
          <w:i w:val="false"/>
          <w:color w:val="000000"/>
          <w:sz w:val="22"/>
        </w:rPr>
        <w:t>means an assessment conducted by the department of workforce development to determine if the employee would benefit from a vocational training and education program offered through an area community college to allow the employee to return 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 for vocational training and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“request”</w:t>
      </w:r>
      <w:r>
        <w:rPr>
          <w:rFonts w:ascii="Times New Roman" w:hAnsi="Times New Roman"/>
          <w:b w:val="false"/>
          <w:i w:val="false"/>
          <w:color w:val="000000"/>
          <w:sz w:val="22"/>
        </w:rPr>
        <w:t> </w:t>
      </w:r>
      <w:r>
        <w:rPr>
          <w:rFonts w:ascii="Times New Roman" w:hAnsi="Times New Roman"/>
          <w:b w:val="false"/>
          <w:i w:val="false"/>
          <w:color w:val="000000"/>
          <w:sz w:val="22"/>
        </w:rPr>
        <w:t>means a written request for an evaluation and determination of whether an employee is entitled to vocational training, education,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and education”</w:t>
      </w:r>
      <w:r>
        <w:rPr>
          <w:rFonts w:ascii="Times New Roman" w:hAnsi="Times New Roman"/>
          <w:b w:val="false"/>
          <w:i w:val="false"/>
          <w:color w:val="000000"/>
          <w:sz w:val="22"/>
        </w:rPr>
        <w:t> </w:t>
      </w:r>
      <w:r>
        <w:rPr>
          <w:rFonts w:ascii="Times New Roman" w:hAnsi="Times New Roman"/>
          <w:b w:val="false"/>
          <w:i w:val="false"/>
          <w:color w:val="000000"/>
          <w:sz w:val="22"/>
        </w:rPr>
        <w:t>shall include general educational development programs for employees who have not graduated from high school or obtained a general education diploma, and career and technical education programs that provide instruction in the areas of agriculture, family and consumer sciences, health occupations, business, industrial technology, and marketing offered through an area community college that will allow the employee to return 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vocational training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concern the issue of vocational training, education,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filed on the form provided by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reasons for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served on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Contain a proof of service on the other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vocational training and education must be filed in WCES unless a party has been granted a waiver of the mandatory use of WCES, in which case the party shall file the application for vocational training and education with the division of workers’ compensation. Applicant(s) must serve a copy of this form on an appellee(s) by certified mail, return receipt requested, or by personal service as in civil actions in accordance with rule </w:t>
      </w:r>
      <w:hyperlink r:id="rId244">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 xml:space="preserve">(17A,85) and mail a copy to the attorney of record for the appellee(s), if known, in accordance with rule </w:t>
      </w:r>
      <w:hyperlink r:id="rId245">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2506.67(4)</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No filing fee is due. More information can be found in paragraph </w:t>
      </w:r>
      <w:hyperlink r:id="rId246">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2506.67(5)</w:t>
      </w:r>
      <w:r>
        <w:rPr>
          <w:rFonts w:ascii="Times New Roman" w:hAnsi="Times New Roman"/>
          <w:b w:val="false"/>
          <w:i w:val="false"/>
          <w:color w:val="000000"/>
          <w:sz w:val="22"/>
        </w:rPr>
        <w:t> </w:t>
      </w:r>
      <w:r>
        <w:rPr>
          <w:rFonts w:ascii="Times New Roman" w:hAnsi="Times New Roman"/>
          <w:b w:val="false"/>
          <w:i/>
          <w:color w:val="000000"/>
          <w:sz w:val="22"/>
        </w:rPr>
        <w:t xml:space="preserve">Request for vocational education and training. </w:t>
      </w:r>
      <w:r>
        <w:rPr>
          <w:rFonts w:ascii="Times New Roman" w:hAnsi="Times New Roman"/>
          <w:b w:val="false"/>
          <w:i w:val="false"/>
          <w:color w:val="000000"/>
          <w:sz w:val="22"/>
        </w:rPr>
        <w:t>Prior to filing an application, the employee shall complete a request on a form supplied by the department of workforce development and submit the completed form to the department of workforce development asking for an evaluation and determination. The employee, employer, or insurance carrier may contest the results of the evaluation and determination by filing an application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2506.67(6)</w:t>
      </w:r>
      <w:r>
        <w:rPr>
          <w:rFonts w:ascii="Times New Roman" w:hAnsi="Times New Roman"/>
          <w:b w:val="false"/>
          <w:i w:val="false"/>
          <w:color w:val="000000"/>
          <w:sz w:val="22"/>
        </w:rPr>
        <w:t> </w:t>
      </w:r>
      <w:r>
        <w:rPr>
          <w:rFonts w:ascii="Times New Roman" w:hAnsi="Times New Roman"/>
          <w:b w:val="false"/>
          <w:i/>
          <w:color w:val="000000"/>
          <w:sz w:val="22"/>
        </w:rPr>
        <w:t xml:space="preserve">Proper application. </w:t>
      </w:r>
      <w:r>
        <w:rPr>
          <w:rFonts w:ascii="Times New Roman" w:hAnsi="Times New Roman"/>
          <w:b w:val="false"/>
          <w:i w:val="false"/>
          <w:color w:val="000000"/>
          <w:sz w:val="22"/>
        </w:rPr>
        <w:t>An application may not be filed under this rule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evaluation and determination has been made by the department of workforce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by the division of workers’ compensation or the employer or the employer’s insurance carrier or both and the employee agrees that the employee has sustained an injury to the shoulder resulting in a permanent partial disability for which compensation is payable under Iowa Code section </w:t>
      </w:r>
      <w:hyperlink r:id="rId247">
        <w:r>
          <w:rPr>
            <w:rStyle w:val="Hyperlink"/>
            <w:rFonts w:ascii="Times New Roman" w:hAnsi="Times New Roman"/>
            <w:b w:val="false"/>
            <w:i w:val="false"/>
            <w:color w:val="000000"/>
            <w:sz w:val="22"/>
          </w:rPr>
          <w:t>85.34(2)</w:t>
        </w:r>
      </w:hyperlink>
      <w:r>
        <w:rPr>
          <w:rFonts w:ascii="Times New Roman" w:hAnsi="Times New Roman"/>
          <w:b w:val="false"/>
          <w:i/>
          <w:color w:val="000000"/>
          <w:sz w:val="22"/>
        </w:rPr>
        <w:t>“n”</w:t>
      </w:r>
      <w:r>
        <w:rPr>
          <w:rFonts w:ascii="Times New Roman" w:hAnsi="Times New Roman"/>
          <w:b w:val="false"/>
          <w:i w:val="false"/>
          <w:color w:val="000000"/>
          <w:sz w:val="22"/>
        </w:rPr>
        <w:t xml:space="preserve"> and the employee cannot return to gainful employment because of such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shall notify the parties by email, ordinary mail, fax, or WCES of the time, place, and nature of the hearing. No notice will be made until a proper application is received by the workers’ compensation commissioner. The notice shall specify whether the hearing will be held by telephone, in person, or by digital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2506.67(8)</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Any written evidence to be used by the employer, the employer’s insurance carrier, or the employee must be exchanged prior to the hearing. All written evidence must be filed with the agency before the date of hearing. Written evidence shall be limited to 50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2506.67(9)</w:t>
      </w:r>
      <w:r>
        <w:rPr>
          <w:rFonts w:ascii="Times New Roman" w:hAnsi="Times New Roman"/>
          <w:b w:val="false"/>
          <w:i w:val="false"/>
          <w:color w:val="000000"/>
          <w:sz w:val="22"/>
        </w:rPr>
        <w:t> </w:t>
      </w:r>
      <w:r>
        <w:rPr>
          <w:rFonts w:ascii="Times New Roman" w:hAnsi="Times New Roman"/>
          <w:b w:val="false"/>
          <w:i/>
          <w:color w:val="000000"/>
          <w:sz w:val="22"/>
        </w:rPr>
        <w:t xml:space="preserve">Motion to change hearing type. </w:t>
      </w:r>
      <w:r>
        <w:rPr>
          <w:rFonts w:ascii="Times New Roman" w:hAnsi="Times New Roman"/>
          <w:b w:val="false"/>
          <w:i w:val="false"/>
          <w:color w:val="000000"/>
          <w:sz w:val="22"/>
        </w:rPr>
        <w:t>A timely motion to change the hearing type (by telephone, in person, or by digital means) may be considered prior to the hearing. The workers’ compensation commissioner will make no rulings on other types of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2506.67(10)</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five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The hearing will be held either by telephone, in person in Des Moines, Iowa, or by digital means. If the party filing the application does not request an in-person hearing in the application, the other parties may request an in-person hearing. The hearing will be recorded electronically. Copies of the recording will be provided to the parties. If there is an appeal of a proposed decision or judicial review of final agency action, the appealing party is responsible for filing a transcript of the hearing. A transcript shall be provided by the appealing party pursuant to Iowa Code section </w:t>
      </w:r>
      <w:hyperlink r:id="rId248">
        <w:r>
          <w:rPr>
            <w:rStyle w:val="Hyperlink"/>
            <w:rFonts w:ascii="Times New Roman" w:hAnsi="Times New Roman"/>
            <w:b w:val="false"/>
            <w:i w:val="false"/>
            <w:color w:val="000000"/>
            <w:sz w:val="22"/>
          </w:rPr>
          <w:t>10A.321(4)</w:t>
        </w:r>
      </w:hyperlink>
      <w:r>
        <w:rPr>
          <w:rFonts w:ascii="Times New Roman" w:hAnsi="Times New Roman"/>
          <w:b w:val="false"/>
          <w:i w:val="false"/>
          <w:color w:val="000000"/>
          <w:sz w:val="22"/>
        </w:rPr>
        <w:t xml:space="preserve"> and a copy of the transcript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249">
        <w:r>
          <w:rPr>
            <w:rStyle w:val="Hyperlink"/>
            <w:rFonts w:ascii="Times New Roman" w:hAnsi="Times New Roman"/>
            <w:b w:val="false"/>
            <w:i w:val="false"/>
            <w:color w:val="000000"/>
            <w:sz w:val="22"/>
          </w:rPr>
          <w:t>10A.320(1)</w:t>
        </w:r>
      </w:hyperlink>
      <w:r>
        <w:rPr>
          <w:rFonts w:ascii="Times New Roman" w:hAnsi="Times New Roman"/>
          <w:b w:val="false"/>
          <w:i w:val="false"/>
          <w:color w:val="000000"/>
          <w:sz w:val="22"/>
        </w:rPr>
        <w:t xml:space="preserve"> by the party that disputes the accuracy of the transcript prepared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2506.67(12)</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250">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30 working days of receipt of a proper application.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1">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25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253">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876—2506.68</w:t>
      </w:r>
      <w:r>
        <w:rPr>
          <w:rFonts w:ascii="Times New Roman" w:hAnsi="Times New Roman"/>
          <w:b/>
          <w:i w:val="false"/>
          <w:color w:val="000000"/>
          <w:sz w:val="22"/>
        </w:rPr>
        <w:t xml:space="preserve">(10A,17A) </w:t>
      </w:r>
      <w:r>
        <w:rPr>
          <w:rFonts w:ascii="Times New Roman" w:hAnsi="Times New Roman"/>
          <w:b/>
          <w:i w:val="false"/>
          <w:color w:val="000000"/>
          <w:sz w:val="22"/>
        </w:rPr>
        <w:t xml:space="preserve">Agency notice of judicial review matters. </w:t>
      </w:r>
      <w:r>
        <w:rPr>
          <w:rFonts w:ascii="Times New Roman" w:hAnsi="Times New Roman"/>
          <w:b w:val="false"/>
          <w:i w:val="false"/>
          <w:color w:val="000000"/>
          <w:sz w:val="22"/>
        </w:rPr>
        <w:t>A party that petitions for judicial review shall file a copy of the petition for judicial review in WCES within ten days of filing the petition with a district court. If a party has been granted a waiver of the mandatory use of WCES, the party shall file a copy of the petition for judicial review with the division of workers’ compensation within ten days of filing the petition with a district court. A party shall also file a copy of each appellate court decision in WCES within ten days of the date the appellate court decision was issued and filed. If a party has been granted a waiver of the mandatory use of WCES, the party shall file a copy of the appellate court decision with the division of workers’ compensation within ten days of the date the appellate court decision was issued and filed. Within 45 days of the filing of the final appellate court decision, the same party shall notify the division of workers’ compensation of the result of the appellate process.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4">
        <w:r>
          <w:rPr>
            <w:rStyle w:val="Hyperlink"/>
            <w:rFonts w:ascii="Times New Roman" w:hAnsi="Times New Roman"/>
            <w:b w:val="false"/>
            <w:i w:val="false"/>
            <w:color w:val="000000"/>
            <w:sz w:val="22"/>
          </w:rPr>
          <w:t>10A.322</w:t>
        </w:r>
      </w:hyperlink>
      <w:r>
        <w:rPr>
          <w:rFonts w:ascii="Times New Roman" w:hAnsi="Times New Roman"/>
          <w:b w:val="false"/>
          <w:i w:val="false"/>
          <w:color w:val="000000"/>
          <w:sz w:val="22"/>
        </w:rPr>
        <w:t xml:space="preserve"> and </w:t>
      </w:r>
      <w:hyperlink r:id="rId25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876—2506.69</w:t>
      </w:r>
      <w:r>
        <w:rPr>
          <w:rFonts w:ascii="Times New Roman" w:hAnsi="Times New Roman"/>
          <w:b/>
          <w:i w:val="false"/>
          <w:color w:val="000000"/>
          <w:sz w:val="22"/>
        </w:rPr>
        <w:t xml:space="preserve">(10A,17A,85,85A,85B) </w:t>
      </w:r>
      <w:r>
        <w:rPr>
          <w:rFonts w:ascii="Times New Roman" w:hAnsi="Times New Roman"/>
          <w:b/>
          <w:i w:val="false"/>
          <w:color w:val="000000"/>
          <w:sz w:val="22"/>
        </w:rPr>
        <w:t xml:space="preserve">Rule of electronic procedure. </w:t>
      </w:r>
      <w:r>
        <w:rPr>
          <w:rFonts w:ascii="Times New Roman" w:hAnsi="Times New Roman"/>
          <w:b w:val="false"/>
          <w:i w:val="false"/>
          <w:color w:val="000000"/>
          <w:sz w:val="22"/>
        </w:rPr>
        <w:t xml:space="preserve">Chapter 16 of the Iowa Court Rules of Electronic Procedure shall govern the use and filings in WCES for contested case proceedings before the workers’ compensation commissioner unless the provisions are in conflict with these rules or Iowa Code chapters </w:t>
      </w:r>
      <w:hyperlink r:id="rId25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2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259">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6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or obviously inapplicable to the workers’ compensation commissioner. In those circumstances, these rules or the appropriate Iowa Code section shall govern. Where appropriate, reference to the word “court” shall be deemed reference to the “workers’ compensation commissioner or deputy workers’ compensation commissioner,” reference to the word “trial” shall be deemed reference to “contested case hearing,” and reference to “clerk of court” shall be deemed reference to staff at the workers’ compensation division.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6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2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6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264">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0408D, IAB 7/8/26, effective 6/30/26]</w:t>
      </w:r>
    </w:p>
    <w:sectPr>
      <w:footerReference r:id="rId26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10A.317.pdf" Type="http://schemas.openxmlformats.org/officeDocument/2006/relationships/hyperlink" Id="rId8"/>
    <Relationship TargetMode="External" Target="https://www.legis.iowa.gov/docs/ico/chapter/10A.317.pdf" Type="http://schemas.openxmlformats.org/officeDocument/2006/relationships/hyperlink" Id="rId9"/>
    <Relationship TargetMode="External" Target="https://www.legis.iowa.gov/docs/ico/chapter/85.27.pdf" Type="http://schemas.openxmlformats.org/officeDocument/2006/relationships/hyperlink" Id="rId10"/>
    <Relationship TargetMode="External" Target="https://www.legis.iowa.gov/docs/ico/chapter/85.28.pdf" Type="http://schemas.openxmlformats.org/officeDocument/2006/relationships/hyperlink" Id="rId11"/>
    <Relationship TargetMode="External" Target="https://www.legis.iowa.gov/docs/ico/chapter/85.29.pdf" Type="http://schemas.openxmlformats.org/officeDocument/2006/relationships/hyperlink" Id="rId12"/>
    <Relationship TargetMode="External" Target="https://www.legis.iowa.gov/docs/ico/chapter/85.31.pdf" Type="http://schemas.openxmlformats.org/officeDocument/2006/relationships/hyperlink" Id="rId13"/>
    <Relationship TargetMode="External" Target="https://www.legis.iowa.gov/docs/ico/chapter/85.42.pdf" Type="http://schemas.openxmlformats.org/officeDocument/2006/relationships/hyperlink" Id="rId14"/>
    <Relationship TargetMode="External" Target="https://www.legis.iowa.gov/docs/ico/chapter/85.44.pdf" Type="http://schemas.openxmlformats.org/officeDocument/2006/relationships/hyperlink" Id="rId15"/>
    <Relationship TargetMode="External" Target="https://www.legis.iowa.gov/docs/ico/chapter/85.43.pdf" Type="http://schemas.openxmlformats.org/officeDocument/2006/relationships/hyperlink" Id="rId16"/>
    <Relationship TargetMode="External" Target="https://www.legis.iowa.gov/docs/ico/chapter/85.63.pdf" Type="http://schemas.openxmlformats.org/officeDocument/2006/relationships/hyperlink" Id="rId17"/>
    <Relationship TargetMode="External" Target="https://www.legis.iowa.gov/docs/ico/chapter/85.70.pdf" Type="http://schemas.openxmlformats.org/officeDocument/2006/relationships/hyperlink" Id="rId18"/>
    <Relationship TargetMode="External" Target="https://www.legis.iowa.gov/docs/ico/chapter/85.70.pdf" Type="http://schemas.openxmlformats.org/officeDocument/2006/relationships/hyperlink" Id="rId19"/>
    <Relationship TargetMode="External" Target="https://www.legis.iowa.gov/docs/ico/chapter/10A.327.pdf" Type="http://schemas.openxmlformats.org/officeDocument/2006/relationships/hyperlink" Id="rId20"/>
    <Relationship TargetMode="External" Target="https://www.legis.iowa.gov/docs/ico/chapter/85.45.pdf" Type="http://schemas.openxmlformats.org/officeDocument/2006/relationships/hyperlink" Id="rId21"/>
    <Relationship TargetMode="External" Target="https://www.legis.iowa.gov/docs/ico/chapter/85.39.pdf" Type="http://schemas.openxmlformats.org/officeDocument/2006/relationships/hyperlink" Id="rId22"/>
    <Relationship TargetMode="External" Target="https://www.legis.iowa.gov/docs/ico/chapter/10A.pdf" Type="http://schemas.openxmlformats.org/officeDocument/2006/relationships/hyperlink" Id="rId23"/>
    <Relationship TargetMode="External" Target="https://www.legis.iowa.gov/docs/ico/chapter/85.pdf" Type="http://schemas.openxmlformats.org/officeDocument/2006/relationships/hyperlink" Id="rId24"/>
    <Relationship TargetMode="External" Target="https://www.legis.iowa.gov/docs/ico/chapter/85A.pdf" Type="http://schemas.openxmlformats.org/officeDocument/2006/relationships/hyperlink" Id="rId25"/>
    <Relationship TargetMode="External" Target="https://www.legis.iowa.gov/docs/ico/chapter/85B.pdf" Type="http://schemas.openxmlformats.org/officeDocument/2006/relationships/hyperlink" Id="rId26"/>
    <Relationship TargetMode="External" Target="https://www.legis.iowa.gov/docs/ico/chapter/87.pdf" Type="http://schemas.openxmlformats.org/officeDocument/2006/relationships/hyperlink" Id="rId27"/>
    <Relationship TargetMode="External" Target="https://www.legis.iowa.gov/docs/ico/chapter/85.27.pdf" Type="http://schemas.openxmlformats.org/officeDocument/2006/relationships/hyperlink" Id="rId28"/>
    <Relationship TargetMode="External" Target="https://www.legis.iowa.gov/docs/ico/chapter/85.21.pdf" Type="http://schemas.openxmlformats.org/officeDocument/2006/relationships/hyperlink" Id="rId29"/>
    <Relationship TargetMode="External" Target="https://www.legis.iowa.gov/docs/ico/chapter/85.30.pdf" Type="http://schemas.openxmlformats.org/officeDocument/2006/relationships/hyperlink" Id="rId30"/>
    <Relationship TargetMode="External" Target="https://www.legis.iowa.gov/docs/ico/chapter/10A.315.pdf" Type="http://schemas.openxmlformats.org/officeDocument/2006/relationships/hyperlink" Id="rId31"/>
    <Relationship TargetMode="External" Target="https://www.legis.iowa.gov/docs/ico/chapter/85.22.pdf" Type="http://schemas.openxmlformats.org/officeDocument/2006/relationships/hyperlink" Id="rId32"/>
    <Relationship TargetMode="External" Target="https://www.legis.iowa.gov/docs/iac/rule/876.2506.32.pdf" Type="http://schemas.openxmlformats.org/officeDocument/2006/relationships/hyperlink" Id="rId33"/>
    <Relationship TargetMode="External" Target="https://www.legis.iowa.gov/docs/iac/rule/876.2506.32.pdf" Type="http://schemas.openxmlformats.org/officeDocument/2006/relationships/hyperlink" Id="rId34"/>
    <Relationship TargetMode="External" Target="https://www.legis.iowa.gov/docs/ico/chapter/10A.310.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85.pdf" Type="http://schemas.openxmlformats.org/officeDocument/2006/relationships/hyperlink" Id="rId37"/>
    <Relationship TargetMode="External" Target="https://www.legis.iowa.gov/docs/ico/chapter/10A.315.pdf" Type="http://schemas.openxmlformats.org/officeDocument/2006/relationships/hyperlink" Id="rId38"/>
    <Relationship TargetMode="External" Target="https://www.legis.iowa.gov/docs/ico/chapter/10A.315.pdf" Type="http://schemas.openxmlformats.org/officeDocument/2006/relationships/hyperlink" Id="rId39"/>
    <Relationship TargetMode="External" Target="https://www.legis.iowa.gov/docs/ico/chapter/10A.319.pdf" Type="http://schemas.openxmlformats.org/officeDocument/2006/relationships/hyperlink" Id="rId40"/>
    <Relationship TargetMode="External" Target="https://www.legis.iowa.gov/docs/ico/chapter/10A.321.pdf" Type="http://schemas.openxmlformats.org/officeDocument/2006/relationships/hyperlink" Id="rId41"/>
    <Relationship TargetMode="External" Target="https://www.legis.iowa.gov/docs/ico/chapter/87.10.pdf" Type="http://schemas.openxmlformats.org/officeDocument/2006/relationships/hyperlink" Id="rId42"/>
    <Relationship TargetMode="External" Target="https://www.legis.iowa.gov/docs/ico/chapter/10A.314.pdf" Type="http://schemas.openxmlformats.org/officeDocument/2006/relationships/hyperlink" Id="rId43"/>
    <Relationship TargetMode="External" Target="https://www.legis.iowa.gov/docs/ico/chapter/10A.315.pdf" Type="http://schemas.openxmlformats.org/officeDocument/2006/relationships/hyperlink" Id="rId44"/>
    <Relationship TargetMode="External" Target="https://www.legis.iowa.gov/docs/ico/chapter/10A.316.pdf" Type="http://schemas.openxmlformats.org/officeDocument/2006/relationships/hyperlink" Id="rId45"/>
    <Relationship TargetMode="External" Target="https://www.legis.iowa.gov/docs/ico/chapter/10A.pdf" Type="http://schemas.openxmlformats.org/officeDocument/2006/relationships/hyperlink" Id="rId46"/>
    <Relationship TargetMode="External" Target="https://www.legis.iowa.gov/docs/ico/chapter/85.pdf" Type="http://schemas.openxmlformats.org/officeDocument/2006/relationships/hyperlink" Id="rId47"/>
    <Relationship TargetMode="External" Target="https://www.legis.iowa.gov/docs/ico/chapter/85B.pdf" Type="http://schemas.openxmlformats.org/officeDocument/2006/relationships/hyperlink" Id="rId48"/>
    <Relationship TargetMode="External" Target="https://www.legis.iowa.gov/docs/ico/chapter/87.pdf" Type="http://schemas.openxmlformats.org/officeDocument/2006/relationships/hyperlink" Id="rId49"/>
    <Relationship TargetMode="External" Target="https://www.legis.iowa.gov/docs/iac/rule/876.2506.32.pdf" Type="http://schemas.openxmlformats.org/officeDocument/2006/relationships/hyperlink" Id="rId50"/>
    <Relationship TargetMode="External" Target="https://www.legis.iowa.gov/docs/iac/rule/876.2506.32.pdf" Type="http://schemas.openxmlformats.org/officeDocument/2006/relationships/hyperlink" Id="rId51"/>
    <Relationship TargetMode="External" Target="https://www.legis.iowa.gov/docs/ico/chapter/10A.pdf" Type="http://schemas.openxmlformats.org/officeDocument/2006/relationships/hyperlink" Id="rId52"/>
    <Relationship TargetMode="External" Target="https://www.legis.iowa.gov/docs/ico/chapter/85.pdf" Type="http://schemas.openxmlformats.org/officeDocument/2006/relationships/hyperlink" Id="rId53"/>
    <Relationship TargetMode="External" Target="https://www.legis.iowa.gov/docs/ico/chapter/85B.pdf" Type="http://schemas.openxmlformats.org/officeDocument/2006/relationships/hyperlink" Id="rId54"/>
    <Relationship TargetMode="External" Target="https://www.legis.iowa.gov/docs/ico/chapter/87.pdf" Type="http://schemas.openxmlformats.org/officeDocument/2006/relationships/hyperlink" Id="rId55"/>
    <Relationship TargetMode="External" Target="https://www.legis.iowa.gov/docs/ico/chapter/17A.12.pdf" Type="http://schemas.openxmlformats.org/officeDocument/2006/relationships/hyperlink" Id="rId56"/>
    <Relationship TargetMode="External" Target="https://www.legis.iowa.gov/docs/iac/rule/876.2506.32.pdf" Type="http://schemas.openxmlformats.org/officeDocument/2006/relationships/hyperlink" Id="rId57"/>
    <Relationship TargetMode="External" Target="https://www.legis.iowa.gov/docs/iac/rule/876.2506.32.pdf" Type="http://schemas.openxmlformats.org/officeDocument/2006/relationships/hyperlink" Id="rId58"/>
    <Relationship TargetMode="External" Target="https://www.legis.iowa.gov/docs/iac/rule/876.2506.32.pdf" Type="http://schemas.openxmlformats.org/officeDocument/2006/relationships/hyperlink" Id="rId59"/>
    <Relationship TargetMode="External" Target="https://www.legis.iowa.gov/docs/iac/rule/876.2506.62.pdf" Type="http://schemas.openxmlformats.org/officeDocument/2006/relationships/hyperlink" Id="rId60"/>
    <Relationship TargetMode="External" Target="https://www.legis.iowa.gov/docs/iac/rule/876.2506.65.pdf" Type="http://schemas.openxmlformats.org/officeDocument/2006/relationships/hyperlink" Id="rId61"/>
    <Relationship TargetMode="External" Target="https://www.legis.iowa.gov/docs/iac/rule/876.2506.67.pdf" Type="http://schemas.openxmlformats.org/officeDocument/2006/relationships/hyperlink" Id="rId62"/>
    <Relationship TargetMode="External" Target="https://www.legis.iowa.gov/docs/ico/chapter/85.21.pdf" Type="http://schemas.openxmlformats.org/officeDocument/2006/relationships/hyperlink" Id="rId63"/>
    <Relationship TargetMode="External" Target="https://www.legis.iowa.gov/docs/ico/chapter/85.21.pdf" Type="http://schemas.openxmlformats.org/officeDocument/2006/relationships/hyperlink" Id="rId64"/>
    <Relationship TargetMode="External" Target="https://www.legis.iowa.gov/docs/ico/chapter/10A.pdf" Type="http://schemas.openxmlformats.org/officeDocument/2006/relationships/hyperlink" Id="rId65"/>
    <Relationship TargetMode="External" Target="https://www.legis.iowa.gov/docs/ico/chapter/17A.12.pdf" Type="http://schemas.openxmlformats.org/officeDocument/2006/relationships/hyperlink" Id="rId66"/>
    <Relationship TargetMode="External" Target="https://www.legis.iowa.gov/docs/ico/chapter/85.27.pdf" Type="http://schemas.openxmlformats.org/officeDocument/2006/relationships/hyperlink" Id="rId67"/>
    <Relationship TargetMode="External" Target="https://www.legis.iowa.gov/docs/ico/chapter/85.45.pdf" Type="http://schemas.openxmlformats.org/officeDocument/2006/relationships/hyperlink" Id="rId68"/>
    <Relationship TargetMode="External" Target="https://www.legis.iowa.gov/docs/ico/chapter/85.48.pdf" Type="http://schemas.openxmlformats.org/officeDocument/2006/relationships/hyperlink" Id="rId69"/>
    <Relationship TargetMode="External" Target="https://www.legis.iowa.gov/docs/ico/chapter/17A.12.pdf" Type="http://schemas.openxmlformats.org/officeDocument/2006/relationships/hyperlink" Id="rId70"/>
    <Relationship TargetMode="External" Target="https://www.legis.iowa.gov/docs/ico/chapter/85.3.pdf" Type="http://schemas.openxmlformats.org/officeDocument/2006/relationships/hyperlink" Id="rId71"/>
    <Relationship TargetMode="External" Target="https://www.legis.iowa.gov/docs/ico/chapter/17A.12.pdf" Type="http://schemas.openxmlformats.org/officeDocument/2006/relationships/hyperlink" Id="rId72"/>
    <Relationship TargetMode="External" Target="https://www.legis.iowa.gov/docs/ico/chapter/85.3.pdf" Type="http://schemas.openxmlformats.org/officeDocument/2006/relationships/hyperlink" Id="rId73"/>
    <Relationship TargetMode="External" Target="https://www.legis.iowa.gov/docs/iac/rule/876.2506.36.pdf" Type="http://schemas.openxmlformats.org/officeDocument/2006/relationships/hyperlink" Id="rId74"/>
    <Relationship TargetMode="External" Target="https://www.legis.iowa.gov/docs/ico/chapter/85.27.pdf" Type="http://schemas.openxmlformats.org/officeDocument/2006/relationships/hyperlink" Id="rId75"/>
    <Relationship TargetMode="External" Target="https://www.legis.iowa.gov/docs/ico/chapter/85.28.pdf" Type="http://schemas.openxmlformats.org/officeDocument/2006/relationships/hyperlink" Id="rId76"/>
    <Relationship TargetMode="External" Target="https://www.legis.iowa.gov/docs/ico/chapter/85.42.pdf" Type="http://schemas.openxmlformats.org/officeDocument/2006/relationships/hyperlink" Id="rId77"/>
    <Relationship TargetMode="External" Target="https://www.legis.iowa.gov/docs/ico/chapter/85.44.pdf" Type="http://schemas.openxmlformats.org/officeDocument/2006/relationships/hyperlink" Id="rId78"/>
    <Relationship TargetMode="External" Target="https://www.legis.iowa.gov/docs/ico/chapter/85.43.pdf" Type="http://schemas.openxmlformats.org/officeDocument/2006/relationships/hyperlink" Id="rId79"/>
    <Relationship TargetMode="External" Target="https://www.legis.iowa.gov/docs/ico/chapter/85.63.pdf" Type="http://schemas.openxmlformats.org/officeDocument/2006/relationships/hyperlink" Id="rId80"/>
    <Relationship TargetMode="External" Target="https://www.legis.iowa.gov/docs/ico/chapter/85.69.pdf" Type="http://schemas.openxmlformats.org/officeDocument/2006/relationships/hyperlink" Id="rId81"/>
    <Relationship TargetMode="External" Target="https://www.legis.iowa.gov/docs/ico/chapter/85.70.pdf" Type="http://schemas.openxmlformats.org/officeDocument/2006/relationships/hyperlink" Id="rId82"/>
    <Relationship TargetMode="External" Target="https://www.legis.iowa.gov/docs/ico/chapter/85.70.pdf" Type="http://schemas.openxmlformats.org/officeDocument/2006/relationships/hyperlink" Id="rId83"/>
    <Relationship TargetMode="External" Target="https://www.legis.iowa.gov/docs/ico/chapter/10A.327.pdf" Type="http://schemas.openxmlformats.org/officeDocument/2006/relationships/hyperlink" Id="rId84"/>
    <Relationship TargetMode="External" Target="https://www.legis.iowa.gov/docs/ico/chapter/85.45.pdf" Type="http://schemas.openxmlformats.org/officeDocument/2006/relationships/hyperlink" Id="rId85"/>
    <Relationship TargetMode="External" Target="https://www.legis.iowa.gov/docs/ico/chapter/85.47.pdf" Type="http://schemas.openxmlformats.org/officeDocument/2006/relationships/hyperlink" Id="rId86"/>
    <Relationship TargetMode="External" Target="https://www.legis.iowa.gov/docs/ico/chapter/85.48.pdf" Type="http://schemas.openxmlformats.org/officeDocument/2006/relationships/hyperlink" Id="rId87"/>
    <Relationship TargetMode="External" Target="https://www.legis.iowa.gov/docs/ico/chapter/85.39.pdf" Type="http://schemas.openxmlformats.org/officeDocument/2006/relationships/hyperlink" Id="rId88"/>
    <Relationship TargetMode="External" Target="https://www.legis.iowa.gov/docs/ico/chapter/85.39.pdf" Type="http://schemas.openxmlformats.org/officeDocument/2006/relationships/hyperlink" Id="rId89"/>
    <Relationship TargetMode="External" Target="https://www.legis.iowa.gov/docs/ico/chapter/85.27.pdf" Type="http://schemas.openxmlformats.org/officeDocument/2006/relationships/hyperlink" Id="rId90"/>
    <Relationship TargetMode="External" Target="https://www.legis.iowa.gov/docs/ico/chapter/85.21.pdf" Type="http://schemas.openxmlformats.org/officeDocument/2006/relationships/hyperlink" Id="rId91"/>
    <Relationship TargetMode="External" Target="https://www.legis.iowa.gov/docs/ico/chapter/85.30.pdf" Type="http://schemas.openxmlformats.org/officeDocument/2006/relationships/hyperlink" Id="rId92"/>
    <Relationship TargetMode="External" Target="https://www.legis.iowa.gov/docs/ico/chapter/10A.315.pdf" Type="http://schemas.openxmlformats.org/officeDocument/2006/relationships/hyperlink" Id="rId93"/>
    <Relationship TargetMode="External" Target="https://www.legis.iowa.gov/docs/ico/chapter/85.22.pdf" Type="http://schemas.openxmlformats.org/officeDocument/2006/relationships/hyperlink" Id="rId94"/>
    <Relationship TargetMode="External" Target="https://www.legis.iowa.gov/docs/iac/rule/876.2506.38.pdf" Type="http://schemas.openxmlformats.org/officeDocument/2006/relationships/hyperlink" Id="rId95"/>
    <Relationship TargetMode="External" Target="https://www.legis.iowa.gov/docs/iac/rule/876.2506.59.pdf" Type="http://schemas.openxmlformats.org/officeDocument/2006/relationships/hyperlink" Id="rId96"/>
    <Relationship TargetMode="External" Target="https://www.legis.iowa.gov/docs/iac/rule/876.2506.38.pdf" Type="http://schemas.openxmlformats.org/officeDocument/2006/relationships/hyperlink" Id="rId97"/>
    <Relationship TargetMode="External" Target="https://www.legis.iowa.gov/docs/iac/rule/876.2506.38.pdf" Type="http://schemas.openxmlformats.org/officeDocument/2006/relationships/hyperlink" Id="rId98"/>
    <Relationship TargetMode="External" Target="https://www.legis.iowa.gov/docs/iac/rule/876.2506.59.pdf" Type="http://schemas.openxmlformats.org/officeDocument/2006/relationships/hyperlink" Id="rId99"/>
    <Relationship TargetMode="External" Target="https://www.legis.iowa.gov/docs/ico/chapter/17A.12.pdf" Type="http://schemas.openxmlformats.org/officeDocument/2006/relationships/hyperlink" Id="rId100"/>
    <Relationship TargetMode="External" Target="http://efile.iowaworkcomp.gov" Type="http://schemas.openxmlformats.org/officeDocument/2006/relationships/hyperlink" Id="rId101"/>
    <Relationship TargetMode="External" Target="https://www.legis.iowa.gov/docs/iac/rule/876.3.1.pdf" Type="http://schemas.openxmlformats.org/officeDocument/2006/relationships/hyperlink" Id="rId102"/>
    <Relationship TargetMode="External" Target="https://www.legis.iowa.gov/docs/ico/chapter/17A.12.pdf" Type="http://schemas.openxmlformats.org/officeDocument/2006/relationships/hyperlink" Id="rId103"/>
    <Relationship TargetMode="External" Target="https://www.legis.iowa.gov/docs/ico/chapter/10A.pdf" Type="http://schemas.openxmlformats.org/officeDocument/2006/relationships/hyperlink" Id="rId104"/>
    <Relationship TargetMode="External" Target="https://www.legis.iowa.gov/docs/ico/chapter/87.10.pdf" Type="http://schemas.openxmlformats.org/officeDocument/2006/relationships/hyperlink" Id="rId105"/>
    <Relationship TargetMode="External" Target="https://www.legis.iowa.gov/docs/ico/chapter/17A.12.pdf" Type="http://schemas.openxmlformats.org/officeDocument/2006/relationships/hyperlink" Id="rId106"/>
    <Relationship TargetMode="External" Target="https://www.legis.iowa.gov/docs/iac/rule/876.2506.36.pdf" Type="http://schemas.openxmlformats.org/officeDocument/2006/relationships/hyperlink" Id="rId107"/>
    <Relationship TargetMode="External" Target="https://www.legis.iowa.gov/docs/iac/rule/876.2506.37.pdf" Type="http://schemas.openxmlformats.org/officeDocument/2006/relationships/hyperlink" Id="rId108"/>
    <Relationship TargetMode="External" Target="https://www.legis.iowa.gov/docs/iac/rule/876.2506.43.pdf" Type="http://schemas.openxmlformats.org/officeDocument/2006/relationships/hyperlink" Id="rId109"/>
    <Relationship TargetMode="External" Target="https://www.legis.iowa.gov/docs/ico/chapter/10A.319.pdf" Type="http://schemas.openxmlformats.org/officeDocument/2006/relationships/hyperlink" Id="rId110"/>
    <Relationship TargetMode="External" Target="https://www.legis.iowa.gov/docs/ico/chapter/17A.12.pdf" Type="http://schemas.openxmlformats.org/officeDocument/2006/relationships/hyperlink" Id="rId111"/>
    <Relationship TargetMode="External" Target="https://www.legis.iowa.gov/docs/iac/rule/876.2506.36.pdf" Type="http://schemas.openxmlformats.org/officeDocument/2006/relationships/hyperlink" Id="rId112"/>
    <Relationship TargetMode="External" Target="https://www.legis.iowa.gov/docs/iac/rule/876.2506.37.pdf" Type="http://schemas.openxmlformats.org/officeDocument/2006/relationships/hyperlink" Id="rId113"/>
    <Relationship TargetMode="External" Target="https://www.legis.iowa.gov/docs/iac/rule/876.2506.44.pdf" Type="http://schemas.openxmlformats.org/officeDocument/2006/relationships/hyperlink" Id="rId114"/>
    <Relationship TargetMode="External" Target="https://www.legis.iowa.gov/docs/iac/rule/876.2506.47.pdf" Type="http://schemas.openxmlformats.org/officeDocument/2006/relationships/hyperlink" Id="rId115"/>
    <Relationship TargetMode="External" Target="https://www.legis.iowa.gov/docs/ico/chapter/10A.319.pdf" Type="http://schemas.openxmlformats.org/officeDocument/2006/relationships/hyperlink" Id="rId116"/>
    <Relationship TargetMode="External" Target="https://www.legis.iowa.gov/docs/ico/chapter/17A.12.pdf" Type="http://schemas.openxmlformats.org/officeDocument/2006/relationships/hyperlink" Id="rId117"/>
    <Relationship TargetMode="External" Target="https://www.legis.iowa.gov/docs/iac/rule/876.2506.42.pdf" Type="http://schemas.openxmlformats.org/officeDocument/2006/relationships/hyperlink" Id="rId118"/>
    <Relationship TargetMode="External" Target="https://www.legis.iowa.gov/docs/iac/rule/876.2506.46.pdf" Type="http://schemas.openxmlformats.org/officeDocument/2006/relationships/hyperlink" Id="rId119"/>
    <Relationship TargetMode="External" Target="https://www.legis.iowa.gov/docs/ico/chapter/10A.319.pdf" Type="http://schemas.openxmlformats.org/officeDocument/2006/relationships/hyperlink" Id="rId120"/>
    <Relationship TargetMode="External" Target="https://www.legis.iowa.gov/docs/iac/rule/876.2506.42.pdf" Type="http://schemas.openxmlformats.org/officeDocument/2006/relationships/hyperlink" Id="rId121"/>
    <Relationship TargetMode="External" Target="https://www.legis.iowa.gov/docs/ico/chapter/10A.319.pdf" Type="http://schemas.openxmlformats.org/officeDocument/2006/relationships/hyperlink" Id="rId122"/>
    <Relationship TargetMode="External" Target="https://www.legis.iowa.gov/docs/iac/rule/876.2506.44.pdf" Type="http://schemas.openxmlformats.org/officeDocument/2006/relationships/hyperlink" Id="rId123"/>
    <Relationship TargetMode="External" Target="https://www.legis.iowa.gov/docs/iac/rule/876.2506.62.pdf" Type="http://schemas.openxmlformats.org/officeDocument/2006/relationships/hyperlink" Id="rId124"/>
    <Relationship TargetMode="External" Target="https://www.legis.iowa.gov/docs/ico/chapter/10A.310.pdf" Type="http://schemas.openxmlformats.org/officeDocument/2006/relationships/hyperlink" Id="rId125"/>
    <Relationship TargetMode="External" Target="https://www.legis.iowa.gov/docs/ico/chapter/10A.319.pdf" Type="http://schemas.openxmlformats.org/officeDocument/2006/relationships/hyperlink" Id="rId126"/>
    <Relationship TargetMode="External" Target="https://www.legis.iowa.gov/docs/iac/rule/876.2506.61.pdf" Type="http://schemas.openxmlformats.org/officeDocument/2006/relationships/hyperlink" Id="rId127"/>
    <Relationship TargetMode="External" Target="https://www.legis.iowa.gov/docs/ico/chapter/10A.310.pdf" Type="http://schemas.openxmlformats.org/officeDocument/2006/relationships/hyperlink" Id="rId128"/>
    <Relationship TargetMode="External" Target="https://www.legis.iowa.gov/docs/ico/chapter/10A.319.pdf" Type="http://schemas.openxmlformats.org/officeDocument/2006/relationships/hyperlink" Id="rId129"/>
    <Relationship TargetMode="External" Target="https://www.legis.iowa.gov/docs/iac/rule/876.2506.64.pdf" Type="http://schemas.openxmlformats.org/officeDocument/2006/relationships/hyperlink" Id="rId130"/>
    <Relationship TargetMode="External" Target="https://www.legis.iowa.gov/docs/iac/rule/876.2506.65.pdf" Type="http://schemas.openxmlformats.org/officeDocument/2006/relationships/hyperlink" Id="rId131"/>
    <Relationship TargetMode="External" Target="https://www.legis.iowa.gov/docs/ico/chapter/85.39.pdf" Type="http://schemas.openxmlformats.org/officeDocument/2006/relationships/hyperlink" Id="rId132"/>
    <Relationship TargetMode="External" Target="https://www.legis.iowa.gov/docs/iac/rule/876.1.503.pdf" Type="http://schemas.openxmlformats.org/officeDocument/2006/relationships/hyperlink" Id="rId133"/>
    <Relationship TargetMode="External" Target="https://www.legis.iowa.gov/docs/iac/rule/876.2506.46.pdf" Type="http://schemas.openxmlformats.org/officeDocument/2006/relationships/hyperlink" Id="rId134"/>
    <Relationship TargetMode="External" Target="https://www.legis.iowa.gov/docs/iac/rule/876.2506.46.pdf" Type="http://schemas.openxmlformats.org/officeDocument/2006/relationships/hyperlink" Id="rId135"/>
    <Relationship TargetMode="External" Target="https://www.legis.iowa.gov/docs/ico/chapter/10A.319.pdf" Type="http://schemas.openxmlformats.org/officeDocument/2006/relationships/hyperlink" Id="rId136"/>
    <Relationship TargetMode="External" Target="https://www.legis.iowa.gov/docs/iac/rule/876.2506.62.pdf" Type="http://schemas.openxmlformats.org/officeDocument/2006/relationships/hyperlink" Id="rId137"/>
    <Relationship TargetMode="External" Target="https://www.legis.iowa.gov/docs/ico/chapter/10A.pdf" Type="http://schemas.openxmlformats.org/officeDocument/2006/relationships/hyperlink" Id="rId138"/>
    <Relationship TargetMode="External" Target="https://www.legis.iowa.gov/docs/ico/chapter/10A.318.pdf" Type="http://schemas.openxmlformats.org/officeDocument/2006/relationships/hyperlink" Id="rId139"/>
    <Relationship TargetMode="External" Target="https://www.legis.iowa.gov/docs/ico/chapter/10A.319.pdf" Type="http://schemas.openxmlformats.org/officeDocument/2006/relationships/hyperlink" Id="rId140"/>
    <Relationship TargetMode="External" Target="https://www.legis.iowa.gov/docs/ico/chapter/10A.318.pdf" Type="http://schemas.openxmlformats.org/officeDocument/2006/relationships/hyperlink" Id="rId141"/>
    <Relationship TargetMode="External" Target="https://www.legis.iowa.gov/docs/ico/chapter/10A.319.pdf" Type="http://schemas.openxmlformats.org/officeDocument/2006/relationships/hyperlink" Id="rId142"/>
    <Relationship TargetMode="External" Target="https://www.legis.iowa.gov/docs/ico/chapter/10A.310.pdf" Type="http://schemas.openxmlformats.org/officeDocument/2006/relationships/hyperlink" Id="rId143"/>
    <Relationship TargetMode="External" Target="https://www.legis.iowa.gov/docs/ico/chapter/10A.319.pdf" Type="http://schemas.openxmlformats.org/officeDocument/2006/relationships/hyperlink" Id="rId144"/>
    <Relationship TargetMode="External" Target="https://www.legis.iowa.gov/docs/ico/chapter/10A.pdf" Type="http://schemas.openxmlformats.org/officeDocument/2006/relationships/hyperlink" Id="rId145"/>
    <Relationship TargetMode="External" Target="https://www.legis.iowa.gov/docs/ico/chapter/17A.pdf" Type="http://schemas.openxmlformats.org/officeDocument/2006/relationships/hyperlink" Id="rId146"/>
    <Relationship TargetMode="External" Target="https://www.legis.iowa.gov/docs/ico/chapter/85.pdf" Type="http://schemas.openxmlformats.org/officeDocument/2006/relationships/hyperlink" Id="rId147"/>
    <Relationship TargetMode="External" Target="https://www.legis.iowa.gov/docs/ico/chapter/85B.pdf" Type="http://schemas.openxmlformats.org/officeDocument/2006/relationships/hyperlink" Id="rId148"/>
    <Relationship TargetMode="External" Target="https://www.legis.iowa.gov/docs/iac/rule/876.2506.52.pdf" Type="http://schemas.openxmlformats.org/officeDocument/2006/relationships/hyperlink" Id="rId149"/>
    <Relationship TargetMode="External" Target="https://www.legis.iowa.gov/docs/ico/chapter/10A.321.pdf" Type="http://schemas.openxmlformats.org/officeDocument/2006/relationships/hyperlink" Id="rId150"/>
    <Relationship TargetMode="External" Target="https://www.legis.iowa.gov/docs/ico/chapter/17A.15.pdf" Type="http://schemas.openxmlformats.org/officeDocument/2006/relationships/hyperlink" Id="rId151"/>
    <Relationship TargetMode="External" Target="https://www.legis.iowa.gov/docs/ico/chapter/17A.16.pdf" Type="http://schemas.openxmlformats.org/officeDocument/2006/relationships/hyperlink" Id="rId152"/>
    <Relationship TargetMode="External" Target="https://www.legis.iowa.gov/docs/iac/rule/876.2506.33.pdf" Type="http://schemas.openxmlformats.org/officeDocument/2006/relationships/hyperlink" Id="rId153"/>
    <Relationship TargetMode="External" Target="https://www.legis.iowa.gov/docs/iac/rule/876.2506.53.pdf" Type="http://schemas.openxmlformats.org/officeDocument/2006/relationships/hyperlink" Id="rId154"/>
    <Relationship TargetMode="External" Target="https://www.legis.iowa.gov/docs/iac/rule/876.2506.43.pdf" Type="http://schemas.openxmlformats.org/officeDocument/2006/relationships/hyperlink" Id="rId155"/>
    <Relationship TargetMode="External" Target="https://www.legis.iowa.gov/docs/ico/chapter/10A.315.pdf" Type="http://schemas.openxmlformats.org/officeDocument/2006/relationships/hyperlink" Id="rId156"/>
    <Relationship TargetMode="External" Target="https://www.legis.iowa.gov/docs/ico/chapter/85.33.pdf" Type="http://schemas.openxmlformats.org/officeDocument/2006/relationships/hyperlink" Id="rId157"/>
    <Relationship TargetMode="External" Target="https://www.legis.iowa.gov/docs/ico/chapter/85.34.pdf" Type="http://schemas.openxmlformats.org/officeDocument/2006/relationships/hyperlink" Id="rId158"/>
    <Relationship TargetMode="External" Target="https://www.legis.iowa.gov/docs/iac/rule/876.2506.53.pdf" Type="http://schemas.openxmlformats.org/officeDocument/2006/relationships/hyperlink" Id="rId159"/>
    <Relationship TargetMode="External" Target="https://www.legis.iowa.gov/docs/ico/chapter/10A.321.pdf" Type="http://schemas.openxmlformats.org/officeDocument/2006/relationships/hyperlink" Id="rId160"/>
    <Relationship TargetMode="External" Target="https://www.legis.iowa.gov/docs/ico/chapter/17A.15.pdf" Type="http://schemas.openxmlformats.org/officeDocument/2006/relationships/hyperlink" Id="rId161"/>
    <Relationship TargetMode="External" Target="https://www.legis.iowa.gov/docs/iac/rule/876.2506.63.pdf" Type="http://schemas.openxmlformats.org/officeDocument/2006/relationships/hyperlink" Id="rId162"/>
    <Relationship TargetMode="External" Target="https://www.legis.iowa.gov/docs/iac/rule/876.2506.56.pdf" Type="http://schemas.openxmlformats.org/officeDocument/2006/relationships/hyperlink" Id="rId163"/>
    <Relationship TargetMode="External" Target="https://www.legis.iowa.gov/docs/ico/chapter/10A.321.pdf" Type="http://schemas.openxmlformats.org/officeDocument/2006/relationships/hyperlink" Id="rId164"/>
    <Relationship TargetMode="External" Target="https://www.legis.iowa.gov/docs/iac/rule/876.2506.53.pdf" Type="http://schemas.openxmlformats.org/officeDocument/2006/relationships/hyperlink" Id="rId165"/>
    <Relationship TargetMode="External" Target="https://www.legis.iowa.gov/docs/iac/rule/876.2506.53.pdf" Type="http://schemas.openxmlformats.org/officeDocument/2006/relationships/hyperlink" Id="rId166"/>
    <Relationship TargetMode="External" Target="https://www.legis.iowa.gov/docs/ico/chapter/10A.321.pdf" Type="http://schemas.openxmlformats.org/officeDocument/2006/relationships/hyperlink" Id="rId167"/>
    <Relationship TargetMode="External" Target="https://www.legis.iowa.gov/docs/ico/chapter/17A.15.pdf" Type="http://schemas.openxmlformats.org/officeDocument/2006/relationships/hyperlink" Id="rId168"/>
    <Relationship TargetMode="External" Target="https://www.legis.iowa.gov/docs/iac/rule/876.2506.54.pdf" Type="http://schemas.openxmlformats.org/officeDocument/2006/relationships/hyperlink" Id="rId169"/>
    <Relationship TargetMode="External" Target="https://www.legis.iowa.gov/docs/iac/rule/876.2506.56.pdf" Type="http://schemas.openxmlformats.org/officeDocument/2006/relationships/hyperlink" Id="rId170"/>
    <Relationship TargetMode="External" Target="https://www.legis.iowa.gov/docs/ico/chapter/10A.320.pdf" Type="http://schemas.openxmlformats.org/officeDocument/2006/relationships/hyperlink" Id="rId171"/>
    <Relationship TargetMode="External" Target="https://www.legis.iowa.gov/docs/ico/chapter/10A.321.pdf" Type="http://schemas.openxmlformats.org/officeDocument/2006/relationships/hyperlink" Id="rId172"/>
    <Relationship TargetMode="External" Target="https://www.legis.iowa.gov/docs/ico/chapter/10A.328.pdf" Type="http://schemas.openxmlformats.org/officeDocument/2006/relationships/hyperlink" Id="rId173"/>
    <Relationship TargetMode="External" Target="https://www.legis.iowa.gov/docs/ico/chapter/17A.12.pdf" Type="http://schemas.openxmlformats.org/officeDocument/2006/relationships/hyperlink" Id="rId174"/>
    <Relationship TargetMode="External" Target="https://www.legis.iowa.gov/docs/ico/chapter/17A.15.pdf" Type="http://schemas.openxmlformats.org/officeDocument/2006/relationships/hyperlink" Id="rId175"/>
    <Relationship TargetMode="External" Target="https://www.legis.iowa.gov/docs/ico/chapter/10A.320.pdf" Type="http://schemas.openxmlformats.org/officeDocument/2006/relationships/hyperlink" Id="rId176"/>
    <Relationship TargetMode="External" Target="https://www.legis.iowa.gov/docs/ico/chapter/622.69.pdf" Type="http://schemas.openxmlformats.org/officeDocument/2006/relationships/hyperlink" Id="rId177"/>
    <Relationship TargetMode="External" Target="https://www.legis.iowa.gov/docs/ico/chapter/622.72.pdf" Type="http://schemas.openxmlformats.org/officeDocument/2006/relationships/hyperlink" Id="rId178"/>
    <Relationship TargetMode="External" Target="https://www.legis.iowa.gov/docs/ico/chapter/622.69.pdf" Type="http://schemas.openxmlformats.org/officeDocument/2006/relationships/hyperlink" Id="rId179"/>
    <Relationship TargetMode="External" Target="https://www.legis.iowa.gov/docs/ico/chapter/622.72.pdf" Type="http://schemas.openxmlformats.org/officeDocument/2006/relationships/hyperlink" Id="rId180"/>
    <Relationship TargetMode="External" Target="https://www.legis.iowa.gov/docs/ico/chapter/622.74.pdf" Type="http://schemas.openxmlformats.org/officeDocument/2006/relationships/hyperlink" Id="rId181"/>
    <Relationship TargetMode="External" Target="https://www.legis.iowa.gov/docs/ico/chapter/10A.328.pdf" Type="http://schemas.openxmlformats.org/officeDocument/2006/relationships/hyperlink" Id="rId182"/>
    <Relationship TargetMode="External" Target="https://www.legis.iowa.gov/docs/iac/rule/876.2506.60.pdf" Type="http://schemas.openxmlformats.org/officeDocument/2006/relationships/hyperlink" Id="rId183"/>
    <Relationship TargetMode="External" Target="https://www.legis.iowa.gov/docs/iac/rule/876.2506.60.pdf" Type="http://schemas.openxmlformats.org/officeDocument/2006/relationships/hyperlink" Id="rId184"/>
    <Relationship TargetMode="External" Target="https://www.legis.iowa.gov/docs/ico/chapter/10A.310.pdf" Type="http://schemas.openxmlformats.org/officeDocument/2006/relationships/hyperlink" Id="rId185"/>
    <Relationship TargetMode="External" Target="https://www.legis.iowa.gov/docs/ico/chapter/10A.319.pdf" Type="http://schemas.openxmlformats.org/officeDocument/2006/relationships/hyperlink" Id="rId186"/>
    <Relationship TargetMode="External" Target="https://www.legis.iowa.gov/docs/ico/chapter/17A.3.pdf" Type="http://schemas.openxmlformats.org/officeDocument/2006/relationships/hyperlink" Id="rId187"/>
    <Relationship TargetMode="External" Target="https://www.legis.iowa.gov/docs/ico/chapter/10A.pdf" Type="http://schemas.openxmlformats.org/officeDocument/2006/relationships/hyperlink" Id="rId188"/>
    <Relationship TargetMode="External" Target="https://www.legis.iowa.gov/docs/ico/chapter/17A.pdf" Type="http://schemas.openxmlformats.org/officeDocument/2006/relationships/hyperlink" Id="rId189"/>
    <Relationship TargetMode="External" Target="https://www.legis.iowa.gov/docs/ico/chapter/85.pdf" Type="http://schemas.openxmlformats.org/officeDocument/2006/relationships/hyperlink" Id="rId190"/>
    <Relationship TargetMode="External" Target="https://www.legis.iowa.gov/docs/ico/chapter/85A.pdf" Type="http://schemas.openxmlformats.org/officeDocument/2006/relationships/hyperlink" Id="rId191"/>
    <Relationship TargetMode="External" Target="https://www.legis.iowa.gov/docs/ico/chapter/85B.pdf" Type="http://schemas.openxmlformats.org/officeDocument/2006/relationships/hyperlink" Id="rId192"/>
    <Relationship TargetMode="External" Target="https://www.legis.iowa.gov/docs/ico/chapter/87.pdf" Type="http://schemas.openxmlformats.org/officeDocument/2006/relationships/hyperlink" Id="rId193"/>
    <Relationship TargetMode="External" Target="https://www.legis.iowa.gov/docs/ico/chapter/10A.310.pdf" Type="http://schemas.openxmlformats.org/officeDocument/2006/relationships/hyperlink" Id="rId194"/>
    <Relationship TargetMode="External" Target="https://www.legis.iowa.gov/docs/ico/chapter/17A.1.pdf" Type="http://schemas.openxmlformats.org/officeDocument/2006/relationships/hyperlink" Id="rId195"/>
    <Relationship TargetMode="External" Target="https://www.legis.iowa.gov/docs/ico/chapter/17A.12.pdf" Type="http://schemas.openxmlformats.org/officeDocument/2006/relationships/hyperlink" Id="rId196"/>
    <Relationship TargetMode="External" Target="https://www.legis.iowa.gov/docs/ico/chapter/17A.14.pdf" Type="http://schemas.openxmlformats.org/officeDocument/2006/relationships/hyperlink" Id="rId197"/>
    <Relationship TargetMode="External" Target="https://www.legis.iowa.gov/docs/ico/chapter/10A.310.pdf" Type="http://schemas.openxmlformats.org/officeDocument/2006/relationships/hyperlink" Id="rId198"/>
    <Relationship TargetMode="External" Target="https://www.legis.iowa.gov/docs/iac/rule/876.2506.54.pdf" Type="http://schemas.openxmlformats.org/officeDocument/2006/relationships/hyperlink" Id="rId199"/>
    <Relationship TargetMode="External" Target="https://www.legis.iowa.gov/docs/ico/chapter/10A.310.pdf" Type="http://schemas.openxmlformats.org/officeDocument/2006/relationships/hyperlink" Id="rId200"/>
    <Relationship TargetMode="External" Target="https://www.legis.iowa.gov/docs/ico/chapter/10A.319.pdf" Type="http://schemas.openxmlformats.org/officeDocument/2006/relationships/hyperlink" Id="rId201"/>
    <Relationship TargetMode="External" Target="https://www.legis.iowa.gov/docs/ico/chapter/10A.321.pdf" Type="http://schemas.openxmlformats.org/officeDocument/2006/relationships/hyperlink" Id="rId202"/>
    <Relationship TargetMode="External" Target="https://www.legis.iowa.gov/docs/ico/chapter/17A.12.pdf" Type="http://schemas.openxmlformats.org/officeDocument/2006/relationships/hyperlink" Id="rId203"/>
    <Relationship TargetMode="External" Target="https://www.legis.iowa.gov/docs/ico/chapter/17A.15.pdf" Type="http://schemas.openxmlformats.org/officeDocument/2006/relationships/hyperlink" Id="rId204"/>
    <Relationship TargetMode="External" Target="https://www.legis.iowa.gov/docs/iac/rule/876.10.3.pdf" Type="http://schemas.openxmlformats.org/officeDocument/2006/relationships/hyperlink" Id="rId205"/>
    <Relationship TargetMode="External" Target="https://www.legis.iowa.gov/docs/iac/rule/876.10.3.pdf" Type="http://schemas.openxmlformats.org/officeDocument/2006/relationships/hyperlink" Id="rId206"/>
    <Relationship TargetMode="External" Target="https://www.legis.iowa.gov/docs/iac/rule/876.10.1.pdf" Type="http://schemas.openxmlformats.org/officeDocument/2006/relationships/hyperlink" Id="rId207"/>
    <Relationship TargetMode="External" Target="https://www.legis.iowa.gov/docs/iac/rule/876.10.3.pdf" Type="http://schemas.openxmlformats.org/officeDocument/2006/relationships/hyperlink" Id="rId208"/>
    <Relationship TargetMode="External" Target="https://www.legis.iowa.gov/docs/iac/rule/876.10.3.pdf" Type="http://schemas.openxmlformats.org/officeDocument/2006/relationships/hyperlink" Id="rId209"/>
    <Relationship TargetMode="External" Target="https://www.legis.iowa.gov/docs/ico/chapter/17A.pdf" Type="http://schemas.openxmlformats.org/officeDocument/2006/relationships/hyperlink" Id="rId210"/>
    <Relationship TargetMode="External" Target="https://www.legis.iowa.gov/docs/iac/rule/876.10.3.pdf" Type="http://schemas.openxmlformats.org/officeDocument/2006/relationships/hyperlink" Id="rId211"/>
    <Relationship TargetMode="External" Target="https://www.legis.iowa.gov/docs/iac/rule/876.10.3.pdf" Type="http://schemas.openxmlformats.org/officeDocument/2006/relationships/hyperlink" Id="rId212"/>
    <Relationship TargetMode="External" Target="https://www.legis.iowa.gov/docs/iac/rule/876.10.3.pdf" Type="http://schemas.openxmlformats.org/officeDocument/2006/relationships/hyperlink" Id="rId213"/>
    <Relationship TargetMode="External" Target="https://www.legis.iowa.gov/docs/iac/rule/876.10.3.pdf" Type="http://schemas.openxmlformats.org/officeDocument/2006/relationships/hyperlink" Id="rId214"/>
    <Relationship TargetMode="External" Target="https://www.legis.iowa.gov/docs/iac/rule/876.10.3.pdf" Type="http://schemas.openxmlformats.org/officeDocument/2006/relationships/hyperlink" Id="rId215"/>
    <Relationship TargetMode="External" Target="https://www.legis.iowa.gov/docs/iac/rule/876.10.3.pdf" Type="http://schemas.openxmlformats.org/officeDocument/2006/relationships/hyperlink" Id="rId216"/>
    <Relationship TargetMode="External" Target="https://www.legis.iowa.gov/docs/ico/chapter/17A.pdf" Type="http://schemas.openxmlformats.org/officeDocument/2006/relationships/hyperlink" Id="rId217"/>
    <Relationship TargetMode="External" Target="https://www.legis.iowa.gov/docs/ico/chapter/10A.310.pdf" Type="http://schemas.openxmlformats.org/officeDocument/2006/relationships/hyperlink" Id="rId218"/>
    <Relationship TargetMode="External" Target="https://www.legis.iowa.gov/docs/ico/chapter/10A.327.pdf" Type="http://schemas.openxmlformats.org/officeDocument/2006/relationships/hyperlink" Id="rId219"/>
    <Relationship TargetMode="External" Target="https://www.legis.iowa.gov/docs/ico/chapter/17A.10.pdf" Type="http://schemas.openxmlformats.org/officeDocument/2006/relationships/hyperlink" Id="rId220"/>
    <Relationship TargetMode="External" Target="https://www.legis.iowa.gov/docs/ico/chapter/17A.12.pdf" Type="http://schemas.openxmlformats.org/officeDocument/2006/relationships/hyperlink" Id="rId221"/>
    <Relationship TargetMode="External" Target="https://www.legis.iowa.gov/docs/ico/chapter/17A.14.pdf" Type="http://schemas.openxmlformats.org/officeDocument/2006/relationships/hyperlink" Id="rId222"/>
    <Relationship TargetMode="External" Target="https://www.legis.iowa.gov/docs/ico/chapter/85.27.pdf" Type="http://schemas.openxmlformats.org/officeDocument/2006/relationships/hyperlink" Id="rId223"/>
    <Relationship TargetMode="External" Target="https://www.legis.iowa.gov/docs/ico/chapter/85.27.pdf" Type="http://schemas.openxmlformats.org/officeDocument/2006/relationships/hyperlink" Id="rId224"/>
    <Relationship TargetMode="External" Target="https://www.legis.iowa.gov/docs/ico/chapter/85.27.pdf" Type="http://schemas.openxmlformats.org/officeDocument/2006/relationships/hyperlink" Id="rId225"/>
    <Relationship TargetMode="External" Target="https://www.legis.iowa.gov/docs/ico/chapter/87.11.pdf" Type="http://schemas.openxmlformats.org/officeDocument/2006/relationships/hyperlink" Id="rId226"/>
    <Relationship TargetMode="External" Target="https://www.legis.iowa.gov/docs/iac/rule/876.2506.38.pdf" Type="http://schemas.openxmlformats.org/officeDocument/2006/relationships/hyperlink" Id="rId227"/>
    <Relationship TargetMode="External" Target="https://www.legis.iowa.gov/docs/iac/rule/876.2506.32.pdf" Type="http://schemas.openxmlformats.org/officeDocument/2006/relationships/hyperlink" Id="rId228"/>
    <Relationship TargetMode="External" Target="https://www.legis.iowa.gov/docs/ico/chapter/10A.321.pdf" Type="http://schemas.openxmlformats.org/officeDocument/2006/relationships/hyperlink" Id="rId229"/>
    <Relationship TargetMode="External" Target="https://www.legis.iowa.gov/docs/ico/chapter/10A.320.pdf" Type="http://schemas.openxmlformats.org/officeDocument/2006/relationships/hyperlink" Id="rId230"/>
    <Relationship TargetMode="External" Target="https://www.legis.iowa.gov/docs/ico/chapter/631.14.pdf" Type="http://schemas.openxmlformats.org/officeDocument/2006/relationships/hyperlink" Id="rId231"/>
    <Relationship TargetMode="External" Target="https://www.legis.iowa.gov/docs/ico/chapter/10A.310.pdf" Type="http://schemas.openxmlformats.org/officeDocument/2006/relationships/hyperlink" Id="rId232"/>
    <Relationship TargetMode="External" Target="https://www.legis.iowa.gov/docs/ico/chapter/10A.318.pdf" Type="http://schemas.openxmlformats.org/officeDocument/2006/relationships/hyperlink" Id="rId233"/>
    <Relationship TargetMode="External" Target="https://www.legis.iowa.gov/docs/ico/chapter/17A.12.pdf" Type="http://schemas.openxmlformats.org/officeDocument/2006/relationships/hyperlink" Id="rId234"/>
    <Relationship TargetMode="External" Target="https://www.legis.iowa.gov/docs/ico/chapter/85.27.pdf" Type="http://schemas.openxmlformats.org/officeDocument/2006/relationships/hyperlink" Id="rId235"/>
    <Relationship TargetMode="External" Target="https://www.legis.iowa.gov/docs/iac/rule/876.2506.32.pdf" Type="http://schemas.openxmlformats.org/officeDocument/2006/relationships/hyperlink" Id="rId236"/>
    <Relationship TargetMode="External" Target="https://www.legis.iowa.gov/docs/iac/rule/876.2506.32.pdf" Type="http://schemas.openxmlformats.org/officeDocument/2006/relationships/hyperlink" Id="rId237"/>
    <Relationship TargetMode="External" Target="https://www.legis.iowa.gov/docs/ico/chapter/10A.310.pdf" Type="http://schemas.openxmlformats.org/officeDocument/2006/relationships/hyperlink" Id="rId238"/>
    <Relationship TargetMode="External" Target="https://www.legis.iowa.gov/docs/ico/chapter/10A.318.pdf" Type="http://schemas.openxmlformats.org/officeDocument/2006/relationships/hyperlink" Id="rId239"/>
    <Relationship TargetMode="External" Target="https://www.legis.iowa.gov/docs/ico/chapter/10A.319.pdf" Type="http://schemas.openxmlformats.org/officeDocument/2006/relationships/hyperlink" Id="rId240"/>
    <Relationship TargetMode="External" Target="https://www.legis.iowa.gov/docs/ico/chapter/17A.12.pdf" Type="http://schemas.openxmlformats.org/officeDocument/2006/relationships/hyperlink" Id="rId241"/>
    <Relationship TargetMode="External" Target="https://www.legis.iowa.gov/docs/ico/chapter/85.27.pdf" Type="http://schemas.openxmlformats.org/officeDocument/2006/relationships/hyperlink" Id="rId242"/>
    <Relationship TargetMode="External" Target="https://www.legis.iowa.gov/docs/ico/chapter/85.70.pdf" Type="http://schemas.openxmlformats.org/officeDocument/2006/relationships/hyperlink" Id="rId243"/>
    <Relationship TargetMode="External" Target="https://www.legis.iowa.gov/docs/iac/rule/876.2506.37.pdf" Type="http://schemas.openxmlformats.org/officeDocument/2006/relationships/hyperlink" Id="rId244"/>
    <Relationship TargetMode="External" Target="https://www.legis.iowa.gov/docs/iac/rule/876.2506.43.pdf" Type="http://schemas.openxmlformats.org/officeDocument/2006/relationships/hyperlink" Id="rId245"/>
    <Relationship TargetMode="External" Target="https://www.legis.iowa.gov/docs/iac/rule/876.2506.38.pdf" Type="http://schemas.openxmlformats.org/officeDocument/2006/relationships/hyperlink" Id="rId246"/>
    <Relationship TargetMode="External" Target="https://www.legis.iowa.gov/docs/ico/chapter/85.34.pdf" Type="http://schemas.openxmlformats.org/officeDocument/2006/relationships/hyperlink" Id="rId247"/>
    <Relationship TargetMode="External" Target="https://www.legis.iowa.gov/docs/ico/chapter/10A.321.pdf" Type="http://schemas.openxmlformats.org/officeDocument/2006/relationships/hyperlink" Id="rId248"/>
    <Relationship TargetMode="External" Target="https://www.legis.iowa.gov/docs/ico/chapter/10A.320.pdf" Type="http://schemas.openxmlformats.org/officeDocument/2006/relationships/hyperlink" Id="rId249"/>
    <Relationship TargetMode="External" Target="https://www.legis.iowa.gov/docs/ico/chapter/631.14.pdf" Type="http://schemas.openxmlformats.org/officeDocument/2006/relationships/hyperlink" Id="rId250"/>
    <Relationship TargetMode="External" Target="https://www.legis.iowa.gov/docs/ico/chapter/10A.318.pdf" Type="http://schemas.openxmlformats.org/officeDocument/2006/relationships/hyperlink" Id="rId251"/>
    <Relationship TargetMode="External" Target="https://www.legis.iowa.gov/docs/ico/chapter/17A.12.pdf" Type="http://schemas.openxmlformats.org/officeDocument/2006/relationships/hyperlink" Id="rId252"/>
    <Relationship TargetMode="External" Target="https://www.legis.iowa.gov/docs/ico/chapter/85.70.pdf" Type="http://schemas.openxmlformats.org/officeDocument/2006/relationships/hyperlink" Id="rId253"/>
    <Relationship TargetMode="External" Target="https://www.legis.iowa.gov/docs/ico/chapter/10A.322.pdf" Type="http://schemas.openxmlformats.org/officeDocument/2006/relationships/hyperlink" Id="rId254"/>
    <Relationship TargetMode="External" Target="https://www.legis.iowa.gov/docs/ico/chapter/17A.19.pdf" Type="http://schemas.openxmlformats.org/officeDocument/2006/relationships/hyperlink" Id="rId255"/>
    <Relationship TargetMode="External" Target="https://www.legis.iowa.gov/docs/ico/chapter/10A.pdf" Type="http://schemas.openxmlformats.org/officeDocument/2006/relationships/hyperlink" Id="rId256"/>
    <Relationship TargetMode="External" Target="https://www.legis.iowa.gov/docs/ico/chapter/17A.pdf" Type="http://schemas.openxmlformats.org/officeDocument/2006/relationships/hyperlink" Id="rId257"/>
    <Relationship TargetMode="External" Target="https://www.legis.iowa.gov/docs/ico/chapter/85.pdf" Type="http://schemas.openxmlformats.org/officeDocument/2006/relationships/hyperlink" Id="rId258"/>
    <Relationship TargetMode="External" Target="https://www.legis.iowa.gov/docs/ico/chapter/85B.pdf" Type="http://schemas.openxmlformats.org/officeDocument/2006/relationships/hyperlink" Id="rId259"/>
    <Relationship TargetMode="External" Target="https://www.legis.iowa.gov/docs/ico/chapter/87.pdf" Type="http://schemas.openxmlformats.org/officeDocument/2006/relationships/hyperlink" Id="rId260"/>
    <Relationship TargetMode="External" Target="https://www.legis.iowa.gov/docs/ico/chapter/10A.pdf" Type="http://schemas.openxmlformats.org/officeDocument/2006/relationships/hyperlink" Id="rId261"/>
    <Relationship TargetMode="External" Target="https://www.legis.iowa.gov/docs/ico/chapter/17A.pdf" Type="http://schemas.openxmlformats.org/officeDocument/2006/relationships/hyperlink" Id="rId262"/>
    <Relationship TargetMode="External" Target="https://www.legis.iowa.gov/docs/ico/chapter/85.pdf" Type="http://schemas.openxmlformats.org/officeDocument/2006/relationships/hyperlink" Id="rId263"/>
    <Relationship TargetMode="External" Target="https://www.legis.iowa.gov/docs/ico/chapter/85B.pdf" Type="http://schemas.openxmlformats.org/officeDocument/2006/relationships/hyperlink" Id="rId264"/>
    <Relationship Target="footer.xml" Type="http://schemas.openxmlformats.org/officeDocument/2006/relationships/footer" Id="rId2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