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GENERAL PROVISIONS</w:t>
      </w:r>
    </w:p>
    <w:p>
      <w:pPr>
        <w:spacing w:before="0" w:after="0"/>
        <w:ind w:left="120"/>
        <w:jc w:val="center"/>
      </w:pPr>
      <w:r>
        <w:rPr>
          <w:rFonts w:ascii="Times New Roman" w:hAnsi="Times New Roman"/>
          <w:b w:val="false"/>
          <w:i w:val="false"/>
          <w:color w:val="000000"/>
          <w:sz w:val="14"/>
        </w:rPr>
        <w:t>[Prior to 9/24/86 see Industrial Commissioner[500]]</w:t>
      </w:r>
      <w:r>
        <w:br/>
      </w:r>
      <w:r>
        <w:rPr>
          <w:rFonts w:ascii="Times New Roman" w:hAnsi="Times New Roman"/>
          <w:b w:val="false"/>
          <w:i w:val="false"/>
          <w:color w:val="000000"/>
          <w:sz w:val="14"/>
        </w:rPr>
        <w:t>[Prior to 1/29/97 see Industrial Services Division[343]]</w:t>
      </w:r>
    </w:p>
    <w:p>
      <w:pPr>
        <w:spacing w:before="0" w:after="0"/>
        <w:ind w:left="120"/>
        <w:jc w:val="center"/>
      </w:pPr>
      <w:r>
        <w:rPr>
          <w:rFonts w:ascii="Times New Roman" w:hAnsi="Times New Roman"/>
          <w:b w:val="false"/>
          <w:i w:val="false"/>
          <w:color w:val="000000"/>
          <w:sz w:val="14"/>
        </w:rPr>
        <w:t>[Prior to 7/29/98 see Industrial Services Division[873]Ch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876—2.1</w:t>
      </w:r>
      <w:r>
        <w:rPr>
          <w:rFonts w:ascii="Times New Roman" w:hAnsi="Times New Roman"/>
          <w:b/>
          <w:i w:val="false"/>
          <w:color w:val="000000"/>
          <w:sz w:val="22"/>
        </w:rPr>
        <w:t xml:space="preserve">(86) </w:t>
      </w:r>
      <w:r>
        <w:rPr>
          <w:rFonts w:ascii="Times New Roman" w:hAnsi="Times New Roman"/>
          <w:b/>
          <w:i w:val="false"/>
          <w:color w:val="000000"/>
          <w:sz w:val="22"/>
        </w:rPr>
        <w:t xml:space="preserve">Extending time and continuances. </w:t>
      </w:r>
      <w:r>
        <w:rPr>
          <w:rFonts w:ascii="Times New Roman" w:hAnsi="Times New Roman"/>
          <w:b w:val="false"/>
          <w:i w:val="false"/>
          <w:color w:val="000000"/>
          <w:sz w:val="22"/>
        </w:rPr>
        <w:t>The workers’ compensation commissioner or a deputy workers’ compensation commissioner may modify the time to comply with any rule for good cause.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876—2.2</w:t>
      </w:r>
      <w:r>
        <w:rPr>
          <w:rFonts w:ascii="Times New Roman" w:hAnsi="Times New Roman"/>
          <w:b/>
          <w:i w:val="false"/>
          <w:color w:val="000000"/>
          <w:sz w:val="22"/>
        </w:rPr>
        <w:t xml:space="preserve">(85,85A,85B,86,87)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When appropriate, all rules shall apply to Iowa Code chapters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1">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876—2.3</w:t>
      </w:r>
      <w:r>
        <w:rPr>
          <w:rFonts w:ascii="Times New Roman" w:hAnsi="Times New Roman"/>
          <w:b/>
          <w:i w:val="false"/>
          <w:color w:val="000000"/>
          <w:sz w:val="22"/>
        </w:rPr>
        <w:t xml:space="preserve">(86,87) </w:t>
      </w:r>
      <w:r>
        <w:rPr>
          <w:rFonts w:ascii="Times New Roman" w:hAnsi="Times New Roman"/>
          <w:b/>
          <w:i w:val="false"/>
          <w:color w:val="000000"/>
          <w:sz w:val="22"/>
        </w:rPr>
        <w:t xml:space="preserve">Representative within the state. </w:t>
      </w:r>
      <w:r>
        <w:rPr>
          <w:rFonts w:ascii="Times New Roman" w:hAnsi="Times New Roman"/>
          <w:b w:val="false"/>
          <w:i w:val="false"/>
          <w:color w:val="000000"/>
          <w:sz w:val="22"/>
        </w:rPr>
        <w:t xml:space="preserve">All licensed insurers, foreign and domestic, insuring workers’ compensation and all employers relieved from insurance pursuant to Iowa Code section </w:t>
      </w:r>
      <w:hyperlink r:id="rId16">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xml:space="preserve"> shall designate one or more persons geographically located within the borders of this state, which person or persons shall be knowledgeable of the Iowa workers’ compensation law and rules and shall be given the authority and have the responsibility to expedite the handling of all matters within the scope of Iowa Code chapters </w:t>
      </w:r>
      <w:hyperlink r:id="rId17">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Iowa workers’ compensation commissioner shall be advised by letter of the name, address, and telephone number of each of the persons so designated. Any change in the identity, address or telephone number of the persons so designated shall be reported to the Iowa workers’ compensation commissioner within ten days after such change occurs.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2">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87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876—2.4</w:t>
      </w:r>
      <w:r>
        <w:rPr>
          <w:rFonts w:ascii="Times New Roman" w:hAnsi="Times New Roman"/>
          <w:b/>
          <w:i w:val="false"/>
          <w:color w:val="000000"/>
          <w:sz w:val="22"/>
        </w:rPr>
        <w:t xml:space="preserve">(85,86) </w:t>
      </w:r>
      <w:r>
        <w:rPr>
          <w:rFonts w:ascii="Times New Roman" w:hAnsi="Times New Roman"/>
          <w:b/>
          <w:i w:val="false"/>
          <w:color w:val="000000"/>
          <w:sz w:val="22"/>
        </w:rPr>
        <w:t xml:space="preserve">Guides to evaluation of permanent impairment. </w:t>
      </w:r>
      <w:r>
        <w:rPr>
          <w:rFonts w:ascii="Times New Roman" w:hAnsi="Times New Roman"/>
          <w:b w:val="false"/>
          <w:i w:val="false"/>
          <w:color w:val="000000"/>
          <w:sz w:val="22"/>
        </w:rPr>
        <w:t xml:space="preserve">The Guides to the Evaluation of Permanent Impairment, Fifth Edition, published by the American Medical Association are adopted for determining the extent of loss or percentage of impairment for permanent partial disabilities and payment of weekly compensation for permanent partial scheduled injuries under Iowa Code section </w:t>
      </w:r>
      <w:hyperlink r:id="rId24">
        <w:r>
          <w:rPr>
            <w:rStyle w:val="Hyperlink"/>
            <w:rFonts w:ascii="Times New Roman" w:hAnsi="Times New Roman"/>
            <w:b w:val="false"/>
            <w:i w:val="false"/>
            <w:color w:val="000000"/>
            <w:sz w:val="22"/>
          </w:rPr>
          <w:t>85.34(2)</w:t>
        </w:r>
      </w:hyperlink>
      <w:r>
        <w:rPr>
          <w:rFonts w:ascii="Times New Roman" w:hAnsi="Times New Roman"/>
          <w:b w:val="false"/>
          <w:i w:val="false"/>
          <w:color w:val="000000"/>
          <w:sz w:val="22"/>
        </w:rPr>
        <w:t xml:space="preserve"> not involving a determination of reduction in an employee’s earning capacity. Payment so made shall be recognized by the workers’ compensation commissioner as a prima facie showing of compliance by the employer or insurance carrier with the foregoing sections of the Iowa workers’ compensation Act. Nothing in this rule shall be construed to prevent the presentations of other medical opinions or other material evidence for the purpose of establishing that the degree of permanent disability to which the claimant would be entitled would be more or less than the entitlement indicated in the Guides to the Evaluation of Permanent Impairment, Fifth Edition, when the reduction in earning capacity for all other permanent partial and permanent total disabilities is determined.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85.34(2)</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3528C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876—2.5</w:t>
      </w:r>
      <w:r>
        <w:rPr>
          <w:rFonts w:ascii="Times New Roman" w:hAnsi="Times New Roman"/>
          <w:b/>
          <w:i w:val="false"/>
          <w:color w:val="000000"/>
          <w:sz w:val="22"/>
        </w:rPr>
        <w:t xml:space="preserve">(85,85A,85B,86) </w:t>
      </w:r>
      <w:r>
        <w:rPr>
          <w:rFonts w:ascii="Times New Roman" w:hAnsi="Times New Roman"/>
          <w:b/>
          <w:i w:val="false"/>
          <w:color w:val="000000"/>
          <w:sz w:val="22"/>
        </w:rPr>
        <w:t xml:space="preserve">Use of workers’ compensation electronic system (WCES) for submission of filings. </w:t>
      </w:r>
      <w:r>
        <w:rPr>
          <w:rFonts w:ascii="Times New Roman" w:hAnsi="Times New Roman"/>
          <w:b w:val="false"/>
          <w:i w:val="false"/>
          <w:color w:val="000000"/>
          <w:sz w:val="22"/>
        </w:rPr>
        <w:t xml:space="preserve">Electronic data interchange (EDI) information, forms, pleadings, responses, motions, briefs, and any other submissions shall be filed through the workers’ compensation electronic system (WCES). The website address for WCES is </w:t>
      </w:r>
      <w:hyperlink r:id="rId27">
        <w:r>
          <w:rPr>
            <w:rStyle w:val="Hyperlink"/>
            <w:rFonts w:ascii="Times New Roman" w:hAnsi="Times New Roman"/>
            <w:b w:val="false"/>
            <w:i w:val="false"/>
            <w:color w:val="000000"/>
            <w:sz w:val="22"/>
            <w:u w:val="single"/>
          </w:rPr>
          <w:t>www.iowaworkcomp.gov/efile</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Any electronic filing that is quarantined due to a virus will not be considered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of workers’ compensation may grant a request for waiver of the mandatory use of WCES in contested cases, pursuant to rule </w:t>
      </w:r>
      <w:hyperlink r:id="rId28">
        <w:r>
          <w:rPr>
            <w:rStyle w:val="Hyperlink"/>
            <w:rFonts w:ascii="Times New Roman" w:hAnsi="Times New Roman"/>
            <w:b w:val="false"/>
            <w:i w:val="false"/>
            <w:color w:val="000000"/>
            <w:sz w:val="22"/>
          </w:rPr>
          <w:t>876—12.4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val="false"/>
          <w:color w:val="000000"/>
          <w:sz w:val="22"/>
        </w:rPr>
        <w:t>Only a deputy workers’ compensation commissioner or the workers’ compensation commissioner can grant a request for waiver of the mandatory use of WCES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val="false"/>
          <w:color w:val="000000"/>
          <w:sz w:val="22"/>
        </w:rPr>
        <w:t>If the division of workers’ compensation grants a waiver of the mandatory use of WCES in a contested case, the division of workers’ compensation shall file paper documents received from the filer in WCES.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9">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876—2.6</w:t>
      </w:r>
      <w:r>
        <w:rPr>
          <w:rFonts w:ascii="Times New Roman" w:hAnsi="Times New Roman"/>
          <w:b/>
          <w:i w:val="false"/>
          <w:color w:val="000000"/>
          <w:sz w:val="22"/>
        </w:rPr>
        <w:t xml:space="preserve">(85,85A,85B,86) </w:t>
      </w:r>
      <w:r>
        <w:rPr>
          <w:rFonts w:ascii="Times New Roman" w:hAnsi="Times New Roman"/>
          <w:b/>
          <w:i w:val="false"/>
          <w:color w:val="000000"/>
          <w:sz w:val="22"/>
        </w:rPr>
        <w:t xml:space="preserve">Information to employees. </w:t>
      </w:r>
      <w:r>
        <w:rPr>
          <w:rFonts w:ascii="Times New Roman" w:hAnsi="Times New Roman"/>
          <w:b w:val="false"/>
          <w:i w:val="false"/>
          <w:color w:val="000000"/>
          <w:sz w:val="22"/>
        </w:rPr>
        <w:t xml:space="preserve">An employer or its insurance carrier filing a final subsequent report of injury (SROI) with the workers’ compensation commissioner (see </w:t>
      </w:r>
      <w:hyperlink r:id="rId33">
        <w:r>
          <w:rPr>
            <w:rStyle w:val="Hyperlink"/>
            <w:rFonts w:ascii="Times New Roman" w:hAnsi="Times New Roman"/>
            <w:b w:val="false"/>
            <w:i w:val="false"/>
            <w:color w:val="000000"/>
            <w:sz w:val="22"/>
          </w:rPr>
          <w:t>876—subrule 3.1(2)</w:t>
        </w:r>
      </w:hyperlink>
      <w:r>
        <w:rPr>
          <w:rFonts w:ascii="Times New Roman" w:hAnsi="Times New Roman"/>
          <w:b w:val="false"/>
          <w:i w:val="false"/>
          <w:color w:val="000000"/>
          <w:sz w:val="22"/>
        </w:rPr>
        <w:t>) shall also mail a copy of the information contained on the final subsequent report of injury to the employee at the employee’s last-known address.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85.26</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86.8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86.11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86.13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876—2.7</w:t>
      </w:r>
      <w:r>
        <w:rPr>
          <w:rFonts w:ascii="Times New Roman" w:hAnsi="Times New Roman"/>
          <w:b/>
          <w:i w:val="false"/>
          <w:color w:val="000000"/>
          <w:sz w:val="22"/>
        </w:rPr>
        <w:t xml:space="preserve">(86) </w:t>
      </w:r>
      <w:r>
        <w:rPr>
          <w:rFonts w:ascii="Times New Roman" w:hAnsi="Times New Roman"/>
          <w:b/>
          <w:i w:val="false"/>
          <w:color w:val="000000"/>
          <w:sz w:val="22"/>
        </w:rPr>
        <w:t xml:space="preserve">Official record. </w:t>
      </w:r>
      <w:r>
        <w:rPr>
          <w:rFonts w:ascii="Times New Roman" w:hAnsi="Times New Roman"/>
          <w:b w:val="false"/>
          <w:i w:val="false"/>
          <w:color w:val="000000"/>
          <w:sz w:val="22"/>
        </w:rPr>
        <w:t>The electronic record made and maintained by the division of workers’ compensation is the official record of a contested case.</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8">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876—2.8</w:t>
      </w:r>
      <w:r>
        <w:rPr>
          <w:rFonts w:ascii="Times New Roman" w:hAnsi="Times New Roman"/>
          <w:b/>
          <w:i w:val="false"/>
          <w:color w:val="000000"/>
          <w:sz w:val="22"/>
        </w:rPr>
        <w:t xml:space="preserve">(86) </w:t>
      </w:r>
      <w:r>
        <w:rPr>
          <w:rFonts w:ascii="Times New Roman" w:hAnsi="Times New Roman"/>
          <w:b/>
          <w:i w:val="false"/>
          <w:color w:val="000000"/>
          <w:sz w:val="22"/>
        </w:rPr>
        <w:t xml:space="preserve">Document requirements. </w:t>
      </w:r>
      <w:r>
        <w:rPr>
          <w:rFonts w:ascii="Times New Roman" w:hAnsi="Times New Roman"/>
          <w:b w:val="false"/>
          <w:i w:val="false"/>
          <w:color w:val="000000"/>
          <w:sz w:val="22"/>
        </w:rPr>
        <w:t xml:space="preserve">Pleadings, responses to pleadings, exhibits, and transcripts submitted to the division of workers’ compensation shall be scanned, attached, and filed in portable document format (pdf) or as image-on-text documents (searchable pdf). A hearing report or proposed order or proposed ruling shall be submitted as a pdf or searchable pdf. Transcripts submitted shall include an index. Filings shall not exceed 20 megabytes (MB). Documents exceeding 20 MB shall be divided and submitted as separate attachments to comply with this size limit. All filings pursuant to this rule shall be submitted via WCES unless otherwise ordered by the workers’ compensation commissioner or a deputy workers’ compensation commissioner. Audio or video files shall use MP3 or MP4 format and should be submitted with a virus-scanned USB drive and shall not exceed 500 MB for each filing.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2">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4568C</w:t>
      </w:r>
      <w:r>
        <w:rPr>
          <w:rFonts w:ascii="Times New Roman" w:hAnsi="Times New Roman"/>
          <w:b w:val="false"/>
          <w:i w:val="false"/>
          <w:color w:val="000000"/>
          <w:sz w:val="16"/>
        </w:rPr>
        <w:t>, IAB 7/31/19, effective 7/10/19</w:t>
      </w:r>
      <w:r>
        <w:rPr>
          <w:rFonts w:ascii="Times New Roman" w:hAnsi="Times New Roman"/>
          <w:b w:val="false"/>
          <w:i w:val="false"/>
          <w:color w:val="000000"/>
          <w:sz w:val="16"/>
        </w:rPr>
        <w:t xml:space="preserve">; </w:t>
      </w:r>
      <w:r>
        <w:rPr>
          <w:rFonts w:ascii="Times New Roman" w:hAnsi="Times New Roman"/>
          <w:b/>
          <w:i w:val="false"/>
          <w:color w:val="000000"/>
          <w:sz w:val="16"/>
        </w:rPr>
        <w:t>ARC 6841C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876—2.9</w:t>
      </w:r>
      <w:r>
        <w:rPr>
          <w:rFonts w:ascii="Times New Roman" w:hAnsi="Times New Roman"/>
          <w:b/>
          <w:i w:val="false"/>
          <w:color w:val="000000"/>
          <w:sz w:val="22"/>
        </w:rPr>
        <w:t xml:space="preserve">(86) </w:t>
      </w:r>
      <w:r>
        <w:rPr>
          <w:rFonts w:ascii="Times New Roman" w:hAnsi="Times New Roman"/>
          <w:b/>
          <w:i w:val="false"/>
          <w:color w:val="000000"/>
          <w:sz w:val="22"/>
        </w:rPr>
        <w:t xml:space="preserve">Effective date of WCES rules.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6841C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2/8/23</w:t>
      </w:r>
      <w:r>
        <w:rPr>
          <w:rFonts w:ascii="Times New Roman" w:hAnsi="Times New Roman"/>
          <w:b w:val="false"/>
          <w:i w:val="false"/>
          <w:color w:val="000000"/>
          <w:sz w:val="22"/>
        </w:rPr>
        <w:t xml:space="preserve">, effective 3/15/23. </w:t>
      </w:r>
    </w:p>
    <w:p>
      <w:pPr>
        <w:spacing w:before="0" w:after="0"/>
        <w:ind w:left="120"/>
        <w:jc w:val="center"/>
      </w:pPr>
      <w:r>
        <w:rPr>
          <w:rFonts w:ascii="Times New Roman" w:hAnsi="Times New Roman"/>
          <w:b w:val="false"/>
          <w:i w:val="false"/>
          <w:color w:val="000000"/>
          <w:sz w:val="21"/>
        </w:rPr>
        <w:t>[Emergency filed and effective 9/19/75—published 10/6/75]</w:t>
      </w:r>
    </w:p>
    <w:p>
      <w:pPr>
        <w:spacing w:before="0" w:after="0"/>
        <w:ind w:left="120"/>
        <w:jc w:val="center"/>
      </w:pPr>
      <w:r>
        <w:rPr>
          <w:rFonts w:ascii="Times New Roman" w:hAnsi="Times New Roman"/>
          <w:b w:val="false"/>
          <w:i w:val="false"/>
          <w:color w:val="000000"/>
          <w:sz w:val="21"/>
        </w:rPr>
        <w:t>[Filed 11/17/75, Notice 10/6/75—published 12/1/75, effective 1/5/76]</w:t>
      </w:r>
    </w:p>
    <w:p>
      <w:pPr>
        <w:spacing w:before="0" w:after="0"/>
        <w:ind w:left="120"/>
        <w:jc w:val="center"/>
      </w:pPr>
      <w:r>
        <w:rPr>
          <w:rFonts w:ascii="Times New Roman" w:hAnsi="Times New Roman"/>
          <w:b w:val="false"/>
          <w:i w:val="false"/>
          <w:color w:val="000000"/>
          <w:sz w:val="21"/>
        </w:rPr>
        <w:t>[Filed 8/16/76, Notice 7/12/76—published 8/23/76, effective 9/27/76]</w:t>
      </w:r>
    </w:p>
    <w:p>
      <w:pPr>
        <w:spacing w:before="0" w:after="0"/>
        <w:ind w:left="120"/>
        <w:jc w:val="center"/>
      </w:pPr>
      <w:r>
        <w:rPr>
          <w:rFonts w:ascii="Times New Roman" w:hAnsi="Times New Roman"/>
          <w:b w:val="false"/>
          <w:i w:val="false"/>
          <w:color w:val="000000"/>
          <w:sz w:val="21"/>
        </w:rPr>
        <w:t>[Filed 8/3/77, Notice 6/29/77—published 8/24/77, effective 9/28/77]</w:t>
      </w:r>
    </w:p>
    <w:p>
      <w:pPr>
        <w:spacing w:before="0" w:after="0"/>
        <w:ind w:left="120"/>
        <w:jc w:val="center"/>
      </w:pPr>
      <w:r>
        <w:rPr>
          <w:rFonts w:ascii="Times New Roman" w:hAnsi="Times New Roman"/>
          <w:b w:val="false"/>
          <w:i w:val="false"/>
          <w:color w:val="000000"/>
          <w:sz w:val="21"/>
        </w:rPr>
        <w:t>[Filed emergency 6/18/82—published 7/7/82, effective 7/1/82]</w:t>
      </w:r>
    </w:p>
    <w:p>
      <w:pPr>
        <w:spacing w:before="0" w:after="0"/>
        <w:ind w:left="120"/>
        <w:jc w:val="center"/>
      </w:pPr>
      <w:r>
        <w:rPr>
          <w:rFonts w:ascii="Times New Roman" w:hAnsi="Times New Roman"/>
          <w:b w:val="false"/>
          <w:i w:val="false"/>
          <w:color w:val="000000"/>
          <w:sz w:val="21"/>
        </w:rPr>
        <w:t xml:space="preserve">[Editorially transferred from [500] to [343], IAC Supp. 9/24/86, see </w:t>
      </w:r>
      <w:r>
        <w:rPr>
          <w:rFonts w:ascii="Times New Roman" w:hAnsi="Times New Roman"/>
          <w:b w:val="false"/>
          <w:i w:val="false"/>
          <w:color w:val="000000"/>
          <w:sz w:val="21"/>
        </w:rPr>
        <w:t>IAB 7/16/86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8/26/94, Notice 7/20/94—published 9/14/94, effective 10/19/94]</w:t>
      </w:r>
    </w:p>
    <w:p>
      <w:pPr>
        <w:spacing w:before="0" w:after="0"/>
        <w:ind w:left="120"/>
        <w:jc w:val="center"/>
      </w:pPr>
      <w:r>
        <w:rPr>
          <w:rFonts w:ascii="Times New Roman" w:hAnsi="Times New Roman"/>
          <w:b w:val="false"/>
          <w:i w:val="false"/>
          <w:color w:val="000000"/>
          <w:sz w:val="21"/>
        </w:rPr>
        <w:t>[Filed 1/13/95, Notice 12/7/94—published 2/1/95, effective 3/8/95]</w:t>
      </w:r>
    </w:p>
    <w:p>
      <w:pPr>
        <w:spacing w:before="0" w:after="0"/>
        <w:ind w:left="120"/>
        <w:jc w:val="center"/>
      </w:pPr>
      <w:r>
        <w:rPr>
          <w:rFonts w:ascii="Times New Roman" w:hAnsi="Times New Roman"/>
          <w:b w:val="false"/>
          <w:i w:val="false"/>
          <w:color w:val="000000"/>
          <w:sz w:val="21"/>
        </w:rPr>
        <w:t>[Filed 1/10/97, Notice 12/4/96—published 1/29/97, effective 3/5/97]</w:t>
      </w:r>
    </w:p>
    <w:p>
      <w:pPr>
        <w:spacing w:before="0" w:after="0"/>
        <w:ind w:left="120"/>
        <w:jc w:val="center"/>
      </w:pPr>
      <w:r>
        <w:rPr>
          <w:rFonts w:ascii="Times New Roman" w:hAnsi="Times New Roman"/>
          <w:b w:val="false"/>
          <w:i w:val="false"/>
          <w:color w:val="000000"/>
          <w:sz w:val="21"/>
        </w:rPr>
        <w:t>[Filed emergency 7/1/98—published 7/29/98, effective 7/1/98]</w:t>
      </w:r>
    </w:p>
    <w:p>
      <w:pPr>
        <w:spacing w:before="0" w:after="0"/>
        <w:ind w:left="120"/>
        <w:jc w:val="center"/>
      </w:pPr>
      <w:r>
        <w:rPr>
          <w:rFonts w:ascii="Times New Roman" w:hAnsi="Times New Roman"/>
          <w:b w:val="false"/>
          <w:i w:val="false"/>
          <w:color w:val="000000"/>
          <w:sz w:val="21"/>
        </w:rPr>
        <w:t>[Filed 9/4/98, Notice 7/29/98—published 9/23/98, effective 10/28/98]</w:t>
      </w:r>
    </w:p>
    <w:p>
      <w:pPr>
        <w:spacing w:before="0" w:after="0"/>
        <w:ind w:left="120"/>
        <w:jc w:val="center"/>
      </w:pPr>
      <w:r>
        <w:rPr>
          <w:rFonts w:ascii="Times New Roman" w:hAnsi="Times New Roman"/>
          <w:b w:val="false"/>
          <w:i w:val="false"/>
          <w:color w:val="000000"/>
          <w:sz w:val="21"/>
        </w:rPr>
        <w:t>[Filed 5/12/00, Notice 4/5/00—published 5/31/00, effective 7/5/00]</w:t>
      </w:r>
    </w:p>
    <w:p>
      <w:pPr>
        <w:spacing w:before="0" w:after="0"/>
        <w:ind w:left="120"/>
        <w:jc w:val="center"/>
      </w:pPr>
      <w:r>
        <w:rPr>
          <w:rFonts w:ascii="Times New Roman" w:hAnsi="Times New Roman"/>
          <w:b w:val="false"/>
          <w:i w:val="false"/>
          <w:color w:val="000000"/>
          <w:sz w:val="21"/>
        </w:rPr>
        <w:t>[Filed 2/15/02, Notice 1/9/02—published 3/6/02, effective 4/10/02]</w:t>
      </w:r>
    </w:p>
    <w:p>
      <w:pPr>
        <w:spacing w:before="0" w:after="0"/>
        <w:ind w:left="120"/>
        <w:jc w:val="center"/>
      </w:pPr>
      <w:r>
        <w:rPr>
          <w:rFonts w:ascii="Times New Roman" w:hAnsi="Times New Roman"/>
          <w:b w:val="false"/>
          <w:i w:val="false"/>
          <w:color w:val="000000"/>
          <w:sz w:val="21"/>
        </w:rPr>
        <w:t>[Filed emergency 4/2/08—published 4/23/08, effective 4/2/08]</w:t>
      </w:r>
    </w:p>
    <w:p>
      <w:pPr>
        <w:spacing w:before="0" w:after="0"/>
        <w:ind w:left="120"/>
        <w:jc w:val="center"/>
      </w:pPr>
      <w:r>
        <w:rPr>
          <w:rFonts w:ascii="Times New Roman" w:hAnsi="Times New Roman"/>
          <w:b w:val="false"/>
          <w:i w:val="false"/>
          <w:color w:val="000000"/>
          <w:sz w:val="21"/>
        </w:rPr>
        <w:t>[Filed ARC 3528C</w:t>
      </w:r>
      <w:r>
        <w:rPr>
          <w:rFonts w:ascii="Times New Roman" w:hAnsi="Times New Roman"/>
          <w:b w:val="false"/>
          <w:i w:val="false"/>
          <w:color w:val="000000"/>
          <w:sz w:val="21"/>
        </w:rPr>
        <w:t xml:space="preserve"> (Notice ARC 3414C,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Emergency After Notice ARC 4568C</w:t>
      </w:r>
      <w:r>
        <w:rPr>
          <w:rFonts w:ascii="Times New Roman" w:hAnsi="Times New Roman"/>
          <w:b w:val="false"/>
          <w:i w:val="false"/>
          <w:color w:val="000000"/>
          <w:sz w:val="21"/>
        </w:rPr>
        <w:t xml:space="preserve"> (Notice ARC 4472C, IAB 6/5/19)</w:t>
      </w:r>
      <w:r>
        <w:rPr>
          <w:rFonts w:ascii="Times New Roman" w:hAnsi="Times New Roman"/>
          <w:b w:val="false"/>
          <w:i w:val="false"/>
          <w:color w:val="000000"/>
          <w:sz w:val="21"/>
        </w:rPr>
        <w:t>, IAB 7/31/19, effective 7/10/19]</w:t>
      </w:r>
    </w:p>
    <w:p>
      <w:pPr>
        <w:spacing w:before="0" w:after="0"/>
        <w:ind w:left="120"/>
        <w:jc w:val="center"/>
      </w:pPr>
      <w:r>
        <w:rPr>
          <w:rFonts w:ascii="Times New Roman" w:hAnsi="Times New Roman"/>
          <w:b w:val="false"/>
          <w:i w:val="false"/>
          <w:color w:val="000000"/>
          <w:sz w:val="21"/>
        </w:rPr>
        <w:t>[Filed ARC 6841C</w:t>
      </w:r>
      <w:r>
        <w:rPr>
          <w:rFonts w:ascii="Times New Roman" w:hAnsi="Times New Roman"/>
          <w:b w:val="false"/>
          <w:i w:val="false"/>
          <w:color w:val="000000"/>
          <w:sz w:val="21"/>
        </w:rPr>
        <w:t xml:space="preserve"> (Notice ARC 6701C, IAB 11/30/22)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6.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A.pdf" Type="http://schemas.openxmlformats.org/officeDocument/2006/relationships/hyperlink" Id="rId7"/>
    <Relationship TargetMode="External" Target="https://www.legis.iowa.gov/docs/ico/chapter/85B.pdf" Type="http://schemas.openxmlformats.org/officeDocument/2006/relationships/hyperlink" Id="rId8"/>
    <Relationship TargetMode="External" Target="https://www.legis.iowa.gov/docs/ico/chapter/86.pdf" Type="http://schemas.openxmlformats.org/officeDocument/2006/relationships/hyperlink" Id="rId9"/>
    <Relationship TargetMode="External" Target="https://www.legis.iowa.gov/docs/ico/chapter/87.pdf" Type="http://schemas.openxmlformats.org/officeDocument/2006/relationships/hyperlink" Id="rId10"/>
    <Relationship TargetMode="External" Target="https://www.legis.iowa.gov/docs/ico/chapter/85.pdf" Type="http://schemas.openxmlformats.org/officeDocument/2006/relationships/hyperlink" Id="rId11"/>
    <Relationship TargetMode="External" Target="https://www.legis.iowa.gov/docs/ico/chapter/85A.pdf" Type="http://schemas.openxmlformats.org/officeDocument/2006/relationships/hyperlink" Id="rId12"/>
    <Relationship TargetMode="External" Target="https://www.legis.iowa.gov/docs/ico/chapter/85B.pdf" Type="http://schemas.openxmlformats.org/officeDocument/2006/relationships/hyperlink" Id="rId13"/>
    <Relationship TargetMode="External" Target="https://www.legis.iowa.gov/docs/ico/chapter/86.pdf" Type="http://schemas.openxmlformats.org/officeDocument/2006/relationships/hyperlink" Id="rId14"/>
    <Relationship TargetMode="External" Target="https://www.legis.iowa.gov/docs/ico/chapter/87.pdf" Type="http://schemas.openxmlformats.org/officeDocument/2006/relationships/hyperlink" Id="rId15"/>
    <Relationship TargetMode="External" Target="https://www.legis.iowa.gov/docs/ico/chapter/87.11.pdf" Type="http://schemas.openxmlformats.org/officeDocument/2006/relationships/hyperlink" Id="rId16"/>
    <Relationship TargetMode="External" Target="https://www.legis.iowa.gov/docs/ico/chapter/85.pdf" Type="http://schemas.openxmlformats.org/officeDocument/2006/relationships/hyperlink" Id="rId17"/>
    <Relationship TargetMode="External" Target="https://www.legis.iowa.gov/docs/ico/chapter/85A.pdf" Type="http://schemas.openxmlformats.org/officeDocument/2006/relationships/hyperlink" Id="rId18"/>
    <Relationship TargetMode="External" Target="https://www.legis.iowa.gov/docs/ico/chapter/85B.pdf" Type="http://schemas.openxmlformats.org/officeDocument/2006/relationships/hyperlink" Id="rId19"/>
    <Relationship TargetMode="External" Target="https://www.legis.iowa.gov/docs/ico/chapter/86.pdf" Type="http://schemas.openxmlformats.org/officeDocument/2006/relationships/hyperlink" Id="rId20"/>
    <Relationship TargetMode="External" Target="https://www.legis.iowa.gov/docs/ico/chapter/87.pdf" Type="http://schemas.openxmlformats.org/officeDocument/2006/relationships/hyperlink" Id="rId21"/>
    <Relationship TargetMode="External" Target="https://www.legis.iowa.gov/docs/ico/chapter/86.pdf" Type="http://schemas.openxmlformats.org/officeDocument/2006/relationships/hyperlink" Id="rId22"/>
    <Relationship TargetMode="External" Target="https://www.legis.iowa.gov/docs/ico/chapter/87.pdf" Type="http://schemas.openxmlformats.org/officeDocument/2006/relationships/hyperlink" Id="rId23"/>
    <Relationship TargetMode="External" Target="https://www.legis.iowa.gov/docs/ico/chapter/85.34.pdf" Type="http://schemas.openxmlformats.org/officeDocument/2006/relationships/hyperlink" Id="rId24"/>
    <Relationship TargetMode="External" Target="https://www.legis.iowa.gov/docs/ico/chapter/85.34.pdf" Type="http://schemas.openxmlformats.org/officeDocument/2006/relationships/hyperlink" Id="rId25"/>
    <Relationship TargetMode="External" Target="https://www.legis.iowa.gov/docs/ico/chapter/86.8.pdf" Type="http://schemas.openxmlformats.org/officeDocument/2006/relationships/hyperlink" Id="rId26"/>
    <Relationship TargetMode="External" Target="https://www.iowaworkcomp.gov/efile" Type="http://schemas.openxmlformats.org/officeDocument/2006/relationships/hyperlink" Id="rId27"/>
    <Relationship TargetMode="External" Target="https://www.legis.iowa.gov/docs/iac/rule/876.12.4.pdf" Type="http://schemas.openxmlformats.org/officeDocument/2006/relationships/hyperlink" Id="rId28"/>
    <Relationship TargetMode="External" Target="https://www.legis.iowa.gov/docs/ico/chapter/85.pdf" Type="http://schemas.openxmlformats.org/officeDocument/2006/relationships/hyperlink" Id="rId29"/>
    <Relationship TargetMode="External" Target="https://www.legis.iowa.gov/docs/ico/chapter/85A.pdf" Type="http://schemas.openxmlformats.org/officeDocument/2006/relationships/hyperlink" Id="rId30"/>
    <Relationship TargetMode="External" Target="https://www.legis.iowa.gov/docs/ico/chapter/85B.pdf" Type="http://schemas.openxmlformats.org/officeDocument/2006/relationships/hyperlink" Id="rId31"/>
    <Relationship TargetMode="External" Target="https://www.legis.iowa.gov/docs/ico/chapter/86.pdf" Type="http://schemas.openxmlformats.org/officeDocument/2006/relationships/hyperlink" Id="rId32"/>
    <Relationship TargetMode="External" Target="https://www.legis.iowa.gov/docs/iac/rule/876.3.1.pdf" Type="http://schemas.openxmlformats.org/officeDocument/2006/relationships/hyperlink" Id="rId33"/>
    <Relationship TargetMode="External" Target="https://www.legis.iowa.gov/docs/ico/chapter/85.26.pdf" Type="http://schemas.openxmlformats.org/officeDocument/2006/relationships/hyperlink" Id="rId34"/>
    <Relationship TargetMode="External" Target="https://www.legis.iowa.gov/docs/ico/chapter/86.8.pdf" Type="http://schemas.openxmlformats.org/officeDocument/2006/relationships/hyperlink" Id="rId35"/>
    <Relationship TargetMode="External" Target="https://www.legis.iowa.gov/docs/ico/chapter/86.11.pdf" Type="http://schemas.openxmlformats.org/officeDocument/2006/relationships/hyperlink" Id="rId36"/>
    <Relationship TargetMode="External" Target="https://www.legis.iowa.gov/docs/ico/chapter/86.13.pdf" Type="http://schemas.openxmlformats.org/officeDocument/2006/relationships/hyperlink" Id="rId37"/>
    <Relationship TargetMode="External" Target="https://www.legis.iowa.gov/docs/ico/chapter/85.pdf" Type="http://schemas.openxmlformats.org/officeDocument/2006/relationships/hyperlink" Id="rId38"/>
    <Relationship TargetMode="External" Target="https://www.legis.iowa.gov/docs/ico/chapter/85A.pdf" Type="http://schemas.openxmlformats.org/officeDocument/2006/relationships/hyperlink" Id="rId39"/>
    <Relationship TargetMode="External" Target="https://www.legis.iowa.gov/docs/ico/chapter/85B.pdf" Type="http://schemas.openxmlformats.org/officeDocument/2006/relationships/hyperlink" Id="rId40"/>
    <Relationship TargetMode="External" Target="https://www.legis.iowa.gov/docs/ico/chapter/86.pdf" Type="http://schemas.openxmlformats.org/officeDocument/2006/relationships/hyperlink" Id="rId41"/>
    <Relationship TargetMode="External" Target="https://www.legis.iowa.gov/docs/ico/chapter/85.pdf" Type="http://schemas.openxmlformats.org/officeDocument/2006/relationships/hyperlink" Id="rId42"/>
    <Relationship TargetMode="External" Target="https://www.legis.iowa.gov/docs/ico/chapter/85A.pdf" Type="http://schemas.openxmlformats.org/officeDocument/2006/relationships/hyperlink" Id="rId43"/>
    <Relationship TargetMode="External" Target="https://www.legis.iowa.gov/docs/ico/chapter/85B.pdf" Type="http://schemas.openxmlformats.org/officeDocument/2006/relationships/hyperlink" Id="rId44"/>
    <Relationship TargetMode="External" Target="https://www.legis.iowa.gov/docs/ico/chapter/86.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