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PURPOSE AND FUNCTION</w:t>
      </w:r>
    </w:p>
    <w:p>
      <w:pPr>
        <w:spacing w:before="0" w:after="0"/>
        <w:ind w:left="120"/>
        <w:jc w:val="center"/>
      </w:pPr>
      <w:r>
        <w:rPr>
          <w:rFonts w:ascii="Times New Roman" w:hAnsi="Times New Roman"/>
          <w:b w:val="false"/>
          <w:i w:val="false"/>
          <w:color w:val="000000"/>
          <w:sz w:val="14"/>
        </w:rPr>
        <w:t>[Prior to 9/24/86 see Industrial Commissioner[500]]</w:t>
      </w:r>
    </w:p>
    <w:p>
      <w:pPr>
        <w:spacing w:before="0" w:after="0"/>
        <w:ind w:left="120"/>
        <w:jc w:val="center"/>
      </w:pPr>
      <w:r>
        <w:rPr>
          <w:rFonts w:ascii="Times New Roman" w:hAnsi="Times New Roman"/>
          <w:b w:val="false"/>
          <w:i w:val="false"/>
          <w:color w:val="000000"/>
          <w:sz w:val="14"/>
        </w:rPr>
        <w:t>[Prior to 1/29/97 see Industrial Services Division[343]]</w:t>
      </w:r>
    </w:p>
    <w:p>
      <w:pPr>
        <w:spacing w:before="0" w:after="0"/>
        <w:ind w:left="120"/>
        <w:jc w:val="center"/>
      </w:pPr>
      <w:r>
        <w:rPr>
          <w:rFonts w:ascii="Times New Roman" w:hAnsi="Times New Roman"/>
          <w:b w:val="false"/>
          <w:i w:val="false"/>
          <w:color w:val="000000"/>
          <w:sz w:val="14"/>
        </w:rPr>
        <w:t>[Prior to 7/29/98 see Industrial Services Division[873]Ch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876—1.1</w:t>
      </w:r>
      <w:r>
        <w:rPr>
          <w:rFonts w:ascii="Times New Roman" w:hAnsi="Times New Roman"/>
          <w:b/>
          <w:i w:val="false"/>
          <w:color w:val="000000"/>
          <w:sz w:val="22"/>
        </w:rPr>
        <w:t xml:space="preserve">(86,17A) </w:t>
      </w:r>
      <w:r>
        <w:rPr>
          <w:rFonts w:ascii="Times New Roman" w:hAnsi="Times New Roman"/>
          <w:b/>
          <w:i w:val="false"/>
          <w:color w:val="000000"/>
          <w:sz w:val="22"/>
        </w:rPr>
        <w:t xml:space="preserve">Purpose and function. </w:t>
      </w:r>
      <w:r>
        <w:rPr>
          <w:rFonts w:ascii="Times New Roman" w:hAnsi="Times New Roman"/>
          <w:b w:val="false"/>
          <w:i w:val="false"/>
          <w:color w:val="000000"/>
          <w:sz w:val="22"/>
        </w:rPr>
        <w:t xml:space="preserve">The function of the division of workers’ compensation of the department of workforce development is to adjudicate the rights and duties of persons provided for in Iowa Code chapters </w:t>
      </w:r>
      <w:hyperlink r:id="rId5">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xml:space="preserve"> and these rules, and to administer and enforce the provisions of chapters </w:t>
      </w:r>
      <w:hyperlink r:id="rId10">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 xml:space="preserve"> and these rules. The indicated chapters provide for the rights and duties of persons injured in employment and the responsible employers and insurance carriers. The chapters are commonly referred to as the workers’ compensation chapters of the Iowa Code. The Iowa workers’ compensation commissioner is the executive head of the division of workers’ compensation who serves a six-year term, appointed by the governor and confirmed by the senate. Two major sections within the division, compliance and adjudication, carry out the purpose of the division as set out by the laws of this state.</w:t>
      </w:r>
    </w:p>
    <w:p>
      <w:pPr>
        <w:spacing w:before="0" w:after="0"/>
        <w:ind w:left="120"/>
        <w:jc w:val="both"/>
      </w:pPr>
      <w:r>
        <w:rPr>
          <w:rFonts w:ascii="Times New Roman" w:hAnsi="Times New Roman"/>
          <w:b w:val="false"/>
          <w:i w:val="false"/>
          <w:color w:val="000000"/>
          <w:sz w:val="22"/>
        </w:rPr>
        <w:t>The compliance section prepares and distributes literature concerning the workers’ compensation law, rates, judicial decisions, and statistics; responds to written and oral inquiries regarding the law; conducts conferences and training sessions; provides appropriate forms for use in matters under the jurisdiction of the division; establishes and monitors files arising from claims of work-related injuries and illness; and informs parties to a claim of their rights and responsibilities.</w:t>
      </w:r>
    </w:p>
    <w:p>
      <w:pPr>
        <w:spacing w:before="0" w:after="0"/>
        <w:ind w:left="120"/>
        <w:jc w:val="both"/>
      </w:pPr>
      <w:r>
        <w:rPr>
          <w:rFonts w:ascii="Times New Roman" w:hAnsi="Times New Roman"/>
          <w:b w:val="false"/>
          <w:i w:val="false"/>
          <w:color w:val="000000"/>
          <w:sz w:val="22"/>
        </w:rPr>
        <w:t>The adjudication section determines, by adjudicative means, the rights and liabilities of parties in a disputed claim by conducting hearings and rendering decisions; approving settlements in accordance with the statutes; and conducting appeals within the division.</w:t>
      </w:r>
    </w:p>
    <w:p>
      <w:pPr>
        <w:spacing w:before="0" w:after="0"/>
        <w:ind w:left="120"/>
        <w:jc w:val="both"/>
      </w:pPr>
      <w:r>
        <w:rPr>
          <w:rFonts w:ascii="Times New Roman" w:hAnsi="Times New Roman"/>
          <w:b/>
          <w:i w:val="false"/>
          <w:color w:val="000000"/>
          <w:sz w:val="22"/>
        </w:rPr>
        <w:t>876—1.2</w:t>
      </w:r>
      <w:r>
        <w:rPr>
          <w:rFonts w:ascii="Times New Roman" w:hAnsi="Times New Roman"/>
          <w:b/>
          <w:i w:val="false"/>
          <w:color w:val="000000"/>
          <w:sz w:val="22"/>
        </w:rPr>
        <w:t xml:space="preserve">(86,17A) </w:t>
      </w:r>
      <w:r>
        <w:rPr>
          <w:rFonts w:ascii="Times New Roman" w:hAnsi="Times New Roman"/>
          <w:b/>
          <w:i w:val="false"/>
          <w:color w:val="000000"/>
          <w:sz w:val="22"/>
        </w:rPr>
        <w:t xml:space="preserve">Location. </w:t>
      </w:r>
      <w:r>
        <w:rPr>
          <w:rFonts w:ascii="Times New Roman" w:hAnsi="Times New Roman"/>
          <w:b w:val="false"/>
          <w:i w:val="false"/>
          <w:color w:val="000000"/>
          <w:sz w:val="22"/>
        </w:rPr>
        <w:t xml:space="preserve">Interested persons may contact the Iowa Workers’ Compensation Commissioner, 150 Des Moines Street, Des Moines, Iowa 50309; telephone (515)725-4120 or 1-800-645-4583. The fax number is (515)281-6501. The website address is </w:t>
      </w:r>
      <w:hyperlink r:id="rId15">
        <w:r>
          <w:rPr>
            <w:rStyle w:val="Hyperlink"/>
            <w:rFonts w:ascii="Times New Roman" w:hAnsi="Times New Roman"/>
            <w:b w:val="false"/>
            <w:i w:val="false"/>
            <w:color w:val="000000"/>
            <w:sz w:val="22"/>
            <w:u w:val="single"/>
          </w:rPr>
          <w:t>www.iowaworkcomp.gov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5042C</w:t>
      </w:r>
      <w:r>
        <w:rPr>
          <w:rFonts w:ascii="Times New Roman" w:hAnsi="Times New Roman"/>
          <w:b w:val="false"/>
          <w:i w:val="false"/>
          <w:color w:val="000000"/>
          <w:sz w:val="16"/>
        </w:rPr>
        <w:t>, IAB 5/20/20, effective 6/24/20</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17A.3(1)</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84A.5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[Emergency filed and effective 9/19/75—published 10/6/75]</w:t>
      </w:r>
    </w:p>
    <w:p>
      <w:pPr>
        <w:spacing w:before="0" w:after="0"/>
        <w:ind w:left="120"/>
        <w:jc w:val="center"/>
      </w:pPr>
      <w:r>
        <w:rPr>
          <w:rFonts w:ascii="Times New Roman" w:hAnsi="Times New Roman"/>
          <w:b w:val="false"/>
          <w:i w:val="false"/>
          <w:color w:val="000000"/>
          <w:sz w:val="21"/>
        </w:rPr>
        <w:t>[Filed 11/17/75, Notice 10/6/75—published 12/1/75, effective 1/5/76]</w:t>
      </w:r>
    </w:p>
    <w:p>
      <w:pPr>
        <w:spacing w:before="0" w:after="0"/>
        <w:ind w:left="120"/>
        <w:jc w:val="center"/>
      </w:pPr>
      <w:r>
        <w:rPr>
          <w:rFonts w:ascii="Times New Roman" w:hAnsi="Times New Roman"/>
          <w:b w:val="false"/>
          <w:i w:val="false"/>
          <w:color w:val="000000"/>
          <w:sz w:val="21"/>
        </w:rPr>
        <w:t>[Filed emergency 6/18/82—published 7/7/82, effective 7/1/82]</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emergency 8/25/86—published 9/10/86, effective 8/25/86]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 xml:space="preserve">[Editorially transferred from [500] to [343], IAC Supp. 9/24/86, see </w:t>
      </w:r>
      <w:r>
        <w:rPr>
          <w:rFonts w:ascii="Times New Roman" w:hAnsi="Times New Roman"/>
          <w:b w:val="false"/>
          <w:i w:val="false"/>
          <w:color w:val="000000"/>
          <w:sz w:val="21"/>
        </w:rPr>
        <w:t>IAB 7/16/86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9/11/87—published 10/7/87, effective 9/11/87]</w:t>
      </w:r>
    </w:p>
    <w:p>
      <w:pPr>
        <w:spacing w:before="0" w:after="0"/>
        <w:ind w:left="120"/>
        <w:jc w:val="center"/>
      </w:pPr>
      <w:r>
        <w:rPr>
          <w:rFonts w:ascii="Times New Roman" w:hAnsi="Times New Roman"/>
          <w:b w:val="false"/>
          <w:i w:val="false"/>
          <w:color w:val="000000"/>
          <w:sz w:val="21"/>
        </w:rPr>
        <w:t>[Filed 8/26/94, Notice 7/20/94—published 9/14/94, effective 10/19/94]</w:t>
      </w:r>
    </w:p>
    <w:p>
      <w:pPr>
        <w:spacing w:before="0" w:after="0"/>
        <w:ind w:left="120"/>
        <w:jc w:val="center"/>
      </w:pPr>
      <w:r>
        <w:rPr>
          <w:rFonts w:ascii="Times New Roman" w:hAnsi="Times New Roman"/>
          <w:b w:val="false"/>
          <w:i w:val="false"/>
          <w:color w:val="000000"/>
          <w:sz w:val="21"/>
        </w:rPr>
        <w:t>[Filed 1/10/97, Notice 12/4/96—published 1/29/97, effective 3/5/97]</w:t>
      </w:r>
    </w:p>
    <w:p>
      <w:pPr>
        <w:spacing w:before="0" w:after="0"/>
        <w:ind w:left="120"/>
        <w:jc w:val="center"/>
      </w:pPr>
      <w:r>
        <w:rPr>
          <w:rFonts w:ascii="Times New Roman" w:hAnsi="Times New Roman"/>
          <w:b w:val="false"/>
          <w:i w:val="false"/>
          <w:color w:val="000000"/>
          <w:sz w:val="21"/>
        </w:rPr>
        <w:t>[Filed 5/1/98, Notice 3/25/98—published 5/20/98, effective 6/24/98]</w:t>
      </w:r>
    </w:p>
    <w:p>
      <w:pPr>
        <w:spacing w:before="0" w:after="0"/>
        <w:ind w:left="120"/>
        <w:jc w:val="center"/>
      </w:pPr>
      <w:r>
        <w:rPr>
          <w:rFonts w:ascii="Times New Roman" w:hAnsi="Times New Roman"/>
          <w:b w:val="false"/>
          <w:i w:val="false"/>
          <w:color w:val="000000"/>
          <w:sz w:val="21"/>
        </w:rPr>
        <w:t>[Filed emergency 7/1/98—published 7/29/98, effective 7/1/98]</w:t>
      </w:r>
    </w:p>
    <w:p>
      <w:pPr>
        <w:spacing w:before="0" w:after="0"/>
        <w:ind w:left="120"/>
        <w:jc w:val="center"/>
      </w:pPr>
      <w:r>
        <w:rPr>
          <w:rFonts w:ascii="Times New Roman" w:hAnsi="Times New Roman"/>
          <w:b w:val="false"/>
          <w:i w:val="false"/>
          <w:color w:val="000000"/>
          <w:sz w:val="21"/>
        </w:rPr>
        <w:t>[Filed 9/4/98, Notice 7/29/98—published 9/23/98, effective 10/28/98]</w:t>
      </w:r>
    </w:p>
    <w:p>
      <w:pPr>
        <w:spacing w:before="0" w:after="0"/>
        <w:ind w:left="120"/>
        <w:jc w:val="center"/>
      </w:pPr>
      <w:r>
        <w:rPr>
          <w:rFonts w:ascii="Times New Roman" w:hAnsi="Times New Roman"/>
          <w:b w:val="false"/>
          <w:i w:val="false"/>
          <w:color w:val="000000"/>
          <w:sz w:val="21"/>
        </w:rPr>
        <w:t>[Filed 5/12/00, Notice 4/5/00—published 5/31/00, effective 7/5/00]</w:t>
      </w:r>
    </w:p>
    <w:p>
      <w:pPr>
        <w:spacing w:before="0" w:after="0"/>
        <w:ind w:left="120"/>
        <w:jc w:val="center"/>
      </w:pPr>
      <w:r>
        <w:rPr>
          <w:rFonts w:ascii="Times New Roman" w:hAnsi="Times New Roman"/>
          <w:b w:val="false"/>
          <w:i w:val="false"/>
          <w:color w:val="000000"/>
          <w:sz w:val="21"/>
        </w:rPr>
        <w:t>[Filed 2/15/02, Notice 1/9/02—published 3/6/02, effective 4/10/02]</w:t>
      </w:r>
    </w:p>
    <w:p>
      <w:pPr>
        <w:spacing w:before="0" w:after="0"/>
        <w:ind w:left="120"/>
        <w:jc w:val="center"/>
      </w:pPr>
      <w:r>
        <w:rPr>
          <w:rFonts w:ascii="Times New Roman" w:hAnsi="Times New Roman"/>
          <w:b w:val="false"/>
          <w:i w:val="false"/>
          <w:color w:val="000000"/>
          <w:sz w:val="21"/>
        </w:rPr>
        <w:t>[Filed ARC 3528C</w:t>
      </w:r>
      <w:r>
        <w:rPr>
          <w:rFonts w:ascii="Times New Roman" w:hAnsi="Times New Roman"/>
          <w:b w:val="false"/>
          <w:i w:val="false"/>
          <w:color w:val="000000"/>
          <w:sz w:val="21"/>
        </w:rPr>
        <w:t xml:space="preserve"> (Notice ARC 3414C,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5042C</w:t>
      </w:r>
      <w:r>
        <w:rPr>
          <w:rFonts w:ascii="Times New Roman" w:hAnsi="Times New Roman"/>
          <w:b w:val="false"/>
          <w:i w:val="false"/>
          <w:color w:val="000000"/>
          <w:sz w:val="21"/>
        </w:rPr>
        <w:t xml:space="preserve"> (Notice ARC 4993C, IAB 3/25/20)</w:t>
      </w:r>
      <w:r>
        <w:rPr>
          <w:rFonts w:ascii="Times New Roman" w:hAnsi="Times New Roman"/>
          <w:b w:val="false"/>
          <w:i w:val="false"/>
          <w:color w:val="000000"/>
          <w:sz w:val="21"/>
        </w:rPr>
        <w:t>, IAB 5/20/20, effective 6/24/20]</w:t>
      </w:r>
    </w:p>
    <w:p>
      <w:pPr>
        <w:spacing w:before="0" w:after="0"/>
        <w:ind w:left="120"/>
        <w:jc w:val="center"/>
      </w:pPr>
      <w:r>
        <w:rPr>
          <w:rFonts w:ascii="Times New Roman" w:hAnsi="Times New Roman"/>
          <w:b w:val="false"/>
          <w:i w:val="false"/>
          <w:color w:val="000000"/>
          <w:sz w:val="21"/>
        </w:rPr>
        <w:t>[Filed ARC 6841C</w:t>
      </w:r>
      <w:r>
        <w:rPr>
          <w:rFonts w:ascii="Times New Roman" w:hAnsi="Times New Roman"/>
          <w:b w:val="false"/>
          <w:i w:val="false"/>
          <w:color w:val="000000"/>
          <w:sz w:val="21"/>
        </w:rPr>
        <w:t xml:space="preserve"> (Notice ARC 6701C, IAB 11/30/22)</w:t>
      </w:r>
      <w:r>
        <w:rPr>
          <w:rFonts w:ascii="Times New Roman" w:hAnsi="Times New Roman"/>
          <w:b w:val="false"/>
          <w:i w:val="false"/>
          <w:color w:val="000000"/>
          <w:sz w:val="21"/>
        </w:rPr>
        <w:t>, IAB 2/8/23, effective 3/15/23]</w:t>
      </w:r>
    </w:p>
    <w:p>
      <w:pPr>
        <w:pBdr>
          <w:bottom w:space="2"/>
        </w:pBdr>
        <w:spacing w:before="0" w:after="0"/>
        <w:ind w:left="120"/>
        <w:jc w:val="both"/>
      </w:pPr>
      <w:r>
        <w:rPr>
          <w:rFonts w:ascii="Times New Roman" w:hAnsi="Times New Roman"/>
          <w:b w:val="false"/>
          <w:i w:val="false"/>
          <w:color w:val="000000"/>
          <w:sz w:val="22"/>
        </w:rPr>
        <w:t>See IAB Industrial Services, Division of [343]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5.pdf" Type="http://schemas.openxmlformats.org/officeDocument/2006/relationships/hyperlink" Id="rId5"/>
    <Relationship TargetMode="External" Target="https://www.legis.iowa.gov/docs/ico/chapter/85A.pdf" Type="http://schemas.openxmlformats.org/officeDocument/2006/relationships/hyperlink" Id="rId6"/>
    <Relationship TargetMode="External" Target="https://www.legis.iowa.gov/docs/ico/chapter/85B.pdf" Type="http://schemas.openxmlformats.org/officeDocument/2006/relationships/hyperlink" Id="rId7"/>
    <Relationship TargetMode="External" Target="https://www.legis.iowa.gov/docs/ico/chapter/86.pdf" Type="http://schemas.openxmlformats.org/officeDocument/2006/relationships/hyperlink" Id="rId8"/>
    <Relationship TargetMode="External" Target="https://www.legis.iowa.gov/docs/ico/chapter/87.pdf" Type="http://schemas.openxmlformats.org/officeDocument/2006/relationships/hyperlink" Id="rId9"/>
    <Relationship TargetMode="External" Target="https://www.legis.iowa.gov/docs/ico/chapter/85.pdf" Type="http://schemas.openxmlformats.org/officeDocument/2006/relationships/hyperlink" Id="rId10"/>
    <Relationship TargetMode="External" Target="https://www.legis.iowa.gov/docs/ico/chapter/85A.pdf" Type="http://schemas.openxmlformats.org/officeDocument/2006/relationships/hyperlink" Id="rId11"/>
    <Relationship TargetMode="External" Target="https://www.legis.iowa.gov/docs/ico/chapter/85B.pdf" Type="http://schemas.openxmlformats.org/officeDocument/2006/relationships/hyperlink" Id="rId12"/>
    <Relationship TargetMode="External" Target="https://www.legis.iowa.gov/docs/ico/chapter/86.pdf" Type="http://schemas.openxmlformats.org/officeDocument/2006/relationships/hyperlink" Id="rId13"/>
    <Relationship TargetMode="External" Target="https://www.legis.iowa.gov/docs/ico/chapter/87.pdf" Type="http://schemas.openxmlformats.org/officeDocument/2006/relationships/hyperlink" Id="rId14"/>
    <Relationship TargetMode="External" Target="https://www.iowaworkcomp.gov/" Type="http://schemas.openxmlformats.org/officeDocument/2006/relationships/hyperlink" Id="rId15"/>
    <Relationship TargetMode="External" Target="https://www.legis.iowa.gov/docs/ico/chapter/17A.3.pdf" Type="http://schemas.openxmlformats.org/officeDocument/2006/relationships/hyperlink" Id="rId16"/>
    <Relationship TargetMode="External" Target="https://www.legis.iowa.gov/docs/ico/chapter/84A.5.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