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BIDDER PREFERENCES IN GOVERNMENT CONTRACTING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875—156.1</w:t>
      </w:r>
      <w:r>
        <w:rPr>
          <w:rFonts w:ascii="Times New Roman" w:hAnsi="Times New Roman"/>
          <w:b/>
          <w:i w:val="false"/>
          <w:color w:val="000000"/>
          <w:sz w:val="22"/>
        </w:rPr>
        <w:t xml:space="preserve">(73A) </w:t>
      </w:r>
      <w:r>
        <w:rPr>
          <w:rFonts w:ascii="Times New Roman" w:hAnsi="Times New Roman"/>
          <w:b/>
          <w:i w:val="false"/>
          <w:color w:val="000000"/>
          <w:sz w:val="22"/>
        </w:rPr>
        <w:t xml:space="preserve">Purpose, scope and definitions. </w:t>
      </w:r>
      <w:r>
        <w:rPr>
          <w:rFonts w:ascii="Times New Roman" w:hAnsi="Times New Roman"/>
          <w:b w:val="false"/>
          <w:i w:val="false"/>
          <w:color w:val="000000"/>
          <w:sz w:val="22"/>
        </w:rPr>
        <w:t xml:space="preserve">These rules institute administrative and operational procedures for enforcement of the Act. The definitions and interpretations contained in Iowa Code section </w:t>
      </w:r>
      <w:hyperlink r:id="rId5">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 xml:space="preserve"> shall be applicable to such terms 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 Code section </w:t>
      </w:r>
      <w:hyperlink r:id="rId6">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when used with respect to any specified person or entity, means another person or entity that, either directly or indirectly through one or more intermediaries, controls, or is controlled by, or is under common control or ownership with, such specified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labor commissioner appointed pursuant to Iowa Code section </w:t>
      </w:r>
      <w:hyperlink r:id="rId7">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division of labor of the department of workforce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 bidder”</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does not meet the definition of a resident bidder, including any affiliate of any person or entity that is a nonresident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when used with respect to any specified person or entity, means an affiliate controlling such specified person or entity directly or indirectly through one or more intermediaries.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body”</w:t>
      </w:r>
      <w:r>
        <w:rPr>
          <w:rFonts w:ascii="Times New Roman" w:hAnsi="Times New Roman"/>
          <w:b w:val="false"/>
          <w:i w:val="false"/>
          <w:color w:val="000000"/>
          <w:sz w:val="22"/>
        </w:rPr>
        <w:t> </w:t>
      </w:r>
      <w:r>
        <w:rPr>
          <w:rFonts w:ascii="Times New Roman" w:hAnsi="Times New Roman"/>
          <w:b w:val="false"/>
          <w:i w:val="false"/>
          <w:color w:val="000000"/>
          <w:sz w:val="22"/>
        </w:rPr>
        <w:t>means the state and any of its political subdivisions, including a school district, public utility, or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improvement”</w:t>
      </w:r>
      <w:r>
        <w:rPr>
          <w:rFonts w:ascii="Times New Roman" w:hAnsi="Times New Roman"/>
          <w:b w:val="false"/>
          <w:i w:val="false"/>
          <w:color w:val="000000"/>
          <w:sz w:val="22"/>
        </w:rPr>
        <w:t> </w:t>
      </w:r>
      <w:r>
        <w:rPr>
          <w:rFonts w:ascii="Times New Roman" w:hAnsi="Times New Roman"/>
          <w:b w:val="false"/>
          <w:i w:val="false"/>
          <w:color w:val="000000"/>
          <w:sz w:val="22"/>
        </w:rPr>
        <w:t>means a building or other construction work to be paid for in whole or in part by the use of funds of the state, its agencies, and any of its political subdivisions and includes road construction, reconstruction, and maintenance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utility”</w:t>
      </w:r>
      <w:r>
        <w:rPr>
          <w:rFonts w:ascii="Times New Roman" w:hAnsi="Times New Roman"/>
          <w:b w:val="false"/>
          <w:i w:val="false"/>
          <w:color w:val="000000"/>
          <w:sz w:val="22"/>
        </w:rPr>
        <w:t> </w:t>
      </w:r>
      <w:r>
        <w:rPr>
          <w:rFonts w:ascii="Times New Roman" w:hAnsi="Times New Roman"/>
          <w:b w:val="false"/>
          <w:i w:val="false"/>
          <w:color w:val="000000"/>
          <w:sz w:val="22"/>
        </w:rPr>
        <w:t>includes municipally owned utilities and municipally owned waterworks.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bidder”</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authorized to transact business in this state and having a place of business for transacting business within the state at which it is conducting and has conducted business for at least three years prior to the date of the first advertisement for the public improvement. If another state or foreign country has a more stringent definition of a resident bidder, the more stringent definition is applicable as to bidders from that state or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labor force preference”</w:t>
      </w:r>
      <w:r>
        <w:rPr>
          <w:rFonts w:ascii="Times New Roman" w:hAnsi="Times New Roman"/>
          <w:b w:val="false"/>
          <w:i w:val="false"/>
          <w:color w:val="000000"/>
          <w:sz w:val="22"/>
        </w:rPr>
        <w:t> </w:t>
      </w:r>
      <w:r>
        <w:rPr>
          <w:rFonts w:ascii="Times New Roman" w:hAnsi="Times New Roman"/>
          <w:b w:val="false"/>
          <w:i w:val="false"/>
          <w:color w:val="000000"/>
          <w:sz w:val="22"/>
        </w:rPr>
        <w:t>means a requirement in which all or a portion of a labor force working on a public improvement is a resident of a particular state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“Subsidiary,”</w:t>
      </w:r>
      <w:r>
        <w:rPr>
          <w:rFonts w:ascii="Times New Roman" w:hAnsi="Times New Roman"/>
          <w:b w:val="false"/>
          <w:i w:val="false"/>
          <w:color w:val="000000"/>
          <w:sz w:val="22"/>
        </w:rPr>
        <w:t> </w:t>
      </w:r>
      <w:r>
        <w:rPr>
          <w:rFonts w:ascii="Times New Roman" w:hAnsi="Times New Roman"/>
          <w:b w:val="false"/>
          <w:i w:val="false"/>
          <w:color w:val="000000"/>
          <w:sz w:val="22"/>
        </w:rPr>
        <w:t>when used with respect to any specified person or entity, is an affiliate controlled by such specified person or entity directly or indirectly through one or more intermediaries.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875—156.2</w:t>
      </w:r>
      <w:r>
        <w:rPr>
          <w:rFonts w:ascii="Times New Roman" w:hAnsi="Times New Roman"/>
          <w:b/>
          <w:i w:val="false"/>
          <w:color w:val="000000"/>
          <w:sz w:val="22"/>
        </w:rPr>
        <w:t xml:space="preserve">(73A) </w:t>
      </w:r>
      <w:r>
        <w:rPr>
          <w:rFonts w:ascii="Times New Roman" w:hAnsi="Times New Roman"/>
          <w:b/>
          <w:i w:val="false"/>
          <w:color w:val="000000"/>
          <w:sz w:val="22"/>
        </w:rPr>
        <w:t xml:space="preserve">Reporting of resident status of bidders.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color w:val="000000"/>
          <w:sz w:val="22"/>
        </w:rPr>
        <w:t xml:space="preserve">Reporting to public body. </w:t>
      </w:r>
      <w:r>
        <w:rPr>
          <w:rFonts w:ascii="Times New Roman" w:hAnsi="Times New Roman"/>
          <w:b w:val="false"/>
          <w:i w:val="false"/>
          <w:color w:val="000000"/>
          <w:sz w:val="22"/>
        </w:rPr>
        <w:t>When a contract for a public improvement is to be awarded to the lowest responsible bidder, the public body shall request a statement from each bidder regarding the bidder’s resident status. The statement shall be on the form designated by the commissioner. The statement shall require the bidder to certify whether the bidder is a resident bidder or a nonresident bidder. In the case of a resident bidder, the statement shall require the resident bidder to identify each office at which the resident bidder has conducted business in the state during the previous three years and the dates on which the resident bidder conducted business at each office. In the case of a nonresident bidder, the statement shall require the nonresident bidder to identify the nonresident bidder’s home state or foreign country as reported to the Iowa secretary of state, to identify each preference offered by the nonresident bidder’s home state or foreign country, and to certify that, except as set forth on the form, there are no other preferences offered by the nonresident bidder’s home state or foreign country. The statement shall include such additional information as requested by the commissioner. The statement must be signed by an authorized representative of the bidder. A fully completed statement shall be deemed to be incorporated by reference into all project bid specifications and contract documents with any bidder on a public improvement. Failure to provide the statement with the bid may result in the bid being deemed nonresponsive. This may result in the bid being rejected by the public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color w:val="000000"/>
          <w:sz w:val="22"/>
        </w:rPr>
        <w:t xml:space="preserve">Determining residency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the Act, a person or entity is a resident bidder if the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authorized to transact business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had one or more places of business in Iowa at which it is conducting or has conducted business in this state for at least three years immediately prior to the date of the first advertisement for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or entity is a resident of a state or foreign country that has a more stringent definition than is set forth in paragraph </w:t>
      </w:r>
      <w:hyperlink r:id="rId8">
        <w:r>
          <w:rPr>
            <w:rStyle w:val="Hyperlink"/>
            <w:rFonts w:ascii="Times New Roman" w:hAnsi="Times New Roman"/>
            <w:b w:val="false"/>
            <w:i w:val="false"/>
            <w:color w:val="000000"/>
            <w:sz w:val="22"/>
          </w:rPr>
          <w:t>156.2(2)</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determining whether a person or entity in that state or country is a resident bidder, then the more stringent definition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color w:val="000000"/>
          <w:sz w:val="22"/>
        </w:rPr>
        <w:t xml:space="preserve">Determining authorization to transact business. </w:t>
      </w:r>
      <w:r>
        <w:rPr>
          <w:rFonts w:ascii="Times New Roman" w:hAnsi="Times New Roman"/>
          <w:b w:val="false"/>
          <w:i w:val="false"/>
          <w:color w:val="000000"/>
          <w:sz w:val="22"/>
        </w:rPr>
        <w:t>A person or entity is authorized to transact business in the state if one or more of the following accurately describes the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a sole proprietorship, the sole proprietor is an Iowa resident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 general partnership or joint venture, more than 50 percent of the general partners or joint venture parties are residents of Iowa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partnership which has filed a statement of qualification in this state, the statement has not been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limited liability partnership whose statement of qualification is filed in a state other than Iowa, the limited liability partnership has filed a statement of foreign qualification in Iowa and a statement of cancellation has not been filed pursuant to Iowa Code section </w:t>
      </w:r>
      <w:hyperlink r:id="rId9">
        <w:r>
          <w:rPr>
            <w:rStyle w:val="Hyperlink"/>
            <w:rFonts w:ascii="Times New Roman" w:hAnsi="Times New Roman"/>
            <w:b w:val="false"/>
            <w:i w:val="false"/>
            <w:color w:val="000000"/>
            <w:sz w:val="22"/>
          </w:rPr>
          <w:t>486A.105(4)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partnership or limited liability limited partnership whose certificate of limited partnership is filed in this state, the limited partnership or limited liability limited partnership has not filed a statement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partnership or a limited liability limited partnership whose certificate of limited partnership is filed in a state other than Iowa, the limited partnership or limited liability limited partnership has received notification from the Iowa secretary of state that the application for certificate of authority has been approved and no notice of cancellation has been filed by the limited partnership or the limited liability limited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company whose certificate of organization is filed in this state, the limited liability company has not filed a statement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case of a limited liability company whose certificate of organization is filed in a state other than Iowa, the limited liability company has received a certificate of authority to transact business in this state and the certificate has not been revoked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corporation whose articles of incorporation are filed in this state, the corporation (1) has paid all fees required by Iowa Code chapter </w:t>
      </w:r>
      <w:hyperlink r:id="rId10">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(2) has filed its most recent biennial report, and (3) has not filed articles of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the case of a corporation whose articles of incorporation are filed in a state other than Iowa, the corporation (1) has received a certificate of authority from the Iowa secretary of state, (2) has filed its most recent biennial report with the secretary of state, and (3) has neither received a certificate of withdrawal from the secretary of state nor had its authority revoked;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or entity is registered with the Iowa division of labor as a construction contractor pursuant to Iowa Code chapter </w:t>
      </w:r>
      <w:hyperlink r:id="rId11">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color w:val="000000"/>
          <w:sz w:val="22"/>
        </w:rPr>
        <w:t xml:space="preserve">Determining if bidder has conducted business in state. </w:t>
      </w:r>
      <w:r>
        <w:rPr>
          <w:rFonts w:ascii="Times New Roman" w:hAnsi="Times New Roman"/>
          <w:b w:val="false"/>
          <w:i w:val="false"/>
          <w:color w:val="000000"/>
          <w:sz w:val="22"/>
        </w:rPr>
        <w:t>In order to determine if a bidder has a place of business for transacting business within Iowa at which it is conducting and has conducted business for at least three years prior to the date of the first advertisement of the public improvement, the bidder shall meet the following criteria for the three-year period prior to the first advertisement for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Continuously maintained a place of business for transacting business in Iowa that is suitable for more than receiving mail, telephone calls, and emails;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Conducted business in the state for each of those three years and filed an Iowa income tax return, if applicable, made payments to the Iowa unemployment insurance fund, if applicable, and maintained an Iowa workers’ compensation policy, if applicable, in effect for each of those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875—156.3</w:t>
      </w:r>
      <w:r>
        <w:rPr>
          <w:rFonts w:ascii="Times New Roman" w:hAnsi="Times New Roman"/>
          <w:b/>
          <w:i w:val="false"/>
          <w:color w:val="000000"/>
          <w:sz w:val="22"/>
        </w:rPr>
        <w:t xml:space="preserve">(73A) </w:t>
      </w:r>
      <w:r>
        <w:rPr>
          <w:rFonts w:ascii="Times New Roman" w:hAnsi="Times New Roman"/>
          <w:b/>
          <w:i w:val="false"/>
          <w:color w:val="000000"/>
          <w:sz w:val="22"/>
        </w:rPr>
        <w:t xml:space="preserve">Application of preference. </w:t>
      </w:r>
      <w:r>
        <w:rPr>
          <w:rFonts w:ascii="Times New Roman" w:hAnsi="Times New Roman"/>
          <w:b w:val="false"/>
          <w:i w:val="false"/>
          <w:color w:val="000000"/>
          <w:sz w:val="22"/>
        </w:rPr>
        <w:t>When awarding a contract for a public improvement to the lowest responsible bidder, the public body shall allow a preference to a resident bidder as against a nonresident bidder that is equal to any preference given or required by the home state or foreign country in which the nonresident bidder is a resident without regard to whether such preferences are actually enforced by the applicable regulatory body in each state. If the bidder is a subsidiary of a parent that would be a nonresident bidder if such parent were to bid on the public improvement in its own name, then the public body shall allow a preference as against such bidder that is equal to the preference given or required by the home state or foreign country of the bidder’s parent. In the instance of a labor force preference, a public body shall apply the same resident labor force preference to a public improvement in this state as would be required in the construction of a public improvement by the home state or foreign country of the nonresident bidder, or the parent of a resident bidder if the parent would qualify as a nonresident bidder if such parent were to bid on the public improvement in its own name.</w:t>
      </w:r>
    </w:p>
    <w:p>
      <w:pPr>
        <w:spacing w:before="0" w:after="0"/>
        <w:ind w:left="120"/>
        <w:jc w:val="both"/>
      </w:pPr>
      <w:r>
        <w:rPr>
          <w:rFonts w:ascii="Times New Roman" w:hAnsi="Times New Roman"/>
          <w:b w:val="false"/>
          <w:i w:val="false"/>
          <w:color w:val="000000"/>
          <w:sz w:val="22"/>
        </w:rPr>
        <w:t>A preference shall not be applied to a subcontractor unless the home state or foreign country of the nonresident bidder to whom the contract was awarded would apply a preference to the subcontractor.</w:t>
      </w:r>
    </w:p>
    <w:p>
      <w:pPr>
        <w:spacing w:before="0" w:after="0"/>
        <w:ind w:left="120"/>
        <w:jc w:val="both"/>
      </w:pPr>
      <w:r>
        <w:rPr>
          <w:rFonts w:ascii="Times New Roman" w:hAnsi="Times New Roman"/>
          <w:b w:val="false"/>
          <w:i w:val="false"/>
          <w:color w:val="000000"/>
          <w:sz w:val="22"/>
        </w:rPr>
        <w:t>Specific methods of calculating and applying a preference shall mirror those that apply in the home state or foreign country of the nonresident bidder to whom the contract was awarded. In the event that the specific method used by the nonresident bidder’s home state or foreign country cannot be determined, the calculation for a labor force preference shall include only the labor force working on the public improvement in Iowa on a regular basis calculated by pay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875—156.4</w:t>
      </w:r>
      <w:r>
        <w:rPr>
          <w:rFonts w:ascii="Times New Roman" w:hAnsi="Times New Roman"/>
          <w:b/>
          <w:i w:val="false"/>
          <w:color w:val="000000"/>
          <w:sz w:val="22"/>
        </w:rPr>
        <w:t xml:space="preserve">(73A) </w:t>
      </w:r>
      <w:r>
        <w:rPr>
          <w:rFonts w:ascii="Times New Roman" w:hAnsi="Times New Roman"/>
          <w:b/>
          <w:i w:val="false"/>
          <w:color w:val="000000"/>
          <w:sz w:val="22"/>
        </w:rPr>
        <w:t xml:space="preserve">Complaints regarding alleged violations of the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with information regarding a violation of the Act may submit a written complaint to the commissioner. Any complaint must provide the information required pursuant to subrule </w:t>
      </w:r>
      <w:hyperlink r:id="rId12">
        <w:r>
          <w:rPr>
            <w:rStyle w:val="Hyperlink"/>
            <w:rFonts w:ascii="Times New Roman" w:hAnsi="Times New Roman"/>
            <w:b w:val="false"/>
            <w:i w:val="false"/>
            <w:color w:val="000000"/>
            <w:sz w:val="22"/>
          </w:rPr>
          <w:t>156.4(2)</w:t>
        </w:r>
      </w:hyperlink>
      <w:r>
        <w:rPr>
          <w:rFonts w:ascii="Times New Roman" w:hAnsi="Times New Roman"/>
          <w:b w:val="false"/>
          <w:i w:val="false"/>
          <w:color w:val="000000"/>
          <w:sz w:val="22"/>
        </w:rPr>
        <w:t xml:space="preserve"> or as much of such information as is reasonably practicable under the circumstances. The completed written complaint form shall be mailed to the commissioner at Labor Services Division,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Written complaint form. </w:t>
      </w:r>
      <w:r>
        <w:rPr>
          <w:rFonts w:ascii="Times New Roman" w:hAnsi="Times New Roman"/>
          <w:b w:val="false"/>
          <w:i w:val="false"/>
          <w:color w:val="000000"/>
          <w:sz w:val="22"/>
        </w:rPr>
        <w:t xml:space="preserve">The commissioner shall prepare a written complaint form that a person with information regarding a potential violation of the Act may submit pursuant to subrule </w:t>
      </w:r>
      <w:hyperlink r:id="rId13">
        <w:r>
          <w:rPr>
            <w:rStyle w:val="Hyperlink"/>
            <w:rFonts w:ascii="Times New Roman" w:hAnsi="Times New Roman"/>
            <w:b w:val="false"/>
            <w:i w:val="false"/>
            <w:color w:val="000000"/>
            <w:sz w:val="22"/>
          </w:rPr>
          <w:t>156.4(1)</w:t>
        </w:r>
      </w:hyperlink>
      <w:r>
        <w:rPr>
          <w:rFonts w:ascii="Times New Roman" w:hAnsi="Times New Roman"/>
          <w:b w:val="false"/>
          <w:i w:val="false"/>
          <w:color w:val="000000"/>
          <w:sz w:val="22"/>
        </w:rPr>
        <w:t>. The written complaint form shall request the following information: the name, address, telephone number, and email address of the complainant; the name of the bidder that is believed to have violated the Act; a description of any relationships between the complainant and the bidder; an identification of the public body to which the bidder submitted a bid; the home state or foreign country of the bidder; a description of the goods and services provided under the bid; and such additional information as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written complaint form. </w:t>
      </w:r>
      <w:r>
        <w:rPr>
          <w:rFonts w:ascii="Times New Roman" w:hAnsi="Times New Roman"/>
          <w:b w:val="false"/>
          <w:i w:val="false"/>
          <w:color w:val="000000"/>
          <w:sz w:val="22"/>
        </w:rPr>
        <w:t>The written complaint form shall be available in all division offices and on the department of workforce development’s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 xml:space="preserve">; </w:t>
      </w:r>
      <w:r>
        <w:rPr>
          <w:rFonts w:ascii="Times New Roman" w:hAnsi="Times New Roman"/>
          <w:b/>
          <w:i w:val="false"/>
          <w:color w:val="000000"/>
          <w:sz w:val="16"/>
        </w:rPr>
        <w:t>ARC 4639C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5022C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875—156.5</w:t>
      </w:r>
      <w:r>
        <w:rPr>
          <w:rFonts w:ascii="Times New Roman" w:hAnsi="Times New Roman"/>
          <w:b/>
          <w:i w:val="false"/>
          <w:color w:val="000000"/>
          <w:sz w:val="22"/>
        </w:rPr>
        <w:t xml:space="preserve">(73A) </w:t>
      </w:r>
      <w:r>
        <w:rPr>
          <w:rFonts w:ascii="Times New Roman" w:hAnsi="Times New Roman"/>
          <w:b/>
          <w:i w:val="false"/>
          <w:color w:val="000000"/>
          <w:sz w:val="22"/>
        </w:rPr>
        <w:t xml:space="preserve">Nonresident bidder record-keeping requirements. </w:t>
      </w:r>
      <w:r>
        <w:rPr>
          <w:rFonts w:ascii="Times New Roman" w:hAnsi="Times New Roman"/>
          <w:b w:val="false"/>
          <w:i w:val="false"/>
          <w:color w:val="000000"/>
          <w:sz w:val="22"/>
        </w:rPr>
        <w:t>While participating in a public improvement, a nonresident bidder from a home state or foreign country with a resident labor force preference shall make and keep, for a period of not less than three years, accurate records of all workers employed by the contractor or subcontractor on the public improvement. The records shall include each worker’s name, address, telephone number if available, social security number, trade classification, and starting and ending date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875—156.6</w:t>
      </w:r>
      <w:r>
        <w:rPr>
          <w:rFonts w:ascii="Times New Roman" w:hAnsi="Times New Roman"/>
          <w:b/>
          <w:i w:val="false"/>
          <w:color w:val="000000"/>
          <w:sz w:val="22"/>
        </w:rPr>
        <w:t xml:space="preserve">(73A) </w:t>
      </w:r>
      <w:r>
        <w:rPr>
          <w:rFonts w:ascii="Times New Roman" w:hAnsi="Times New Roman"/>
          <w:b/>
          <w:i w:val="false"/>
          <w:color w:val="000000"/>
          <w:sz w:val="22"/>
        </w:rPr>
        <w:t xml:space="preserve">Investigations; determination of civil penalty. </w:t>
      </w:r>
      <w:r>
        <w:rPr>
          <w:rFonts w:ascii="Times New Roman" w:hAnsi="Times New Roman"/>
          <w:b w:val="false"/>
          <w:i w:val="false"/>
          <w:color w:val="000000"/>
          <w:sz w:val="22"/>
        </w:rPr>
        <w:t>The commissioner or an authorized designee shall cause an investigation to be made into charges of violations of the Act, including allegations set forth in a written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color w:val="000000"/>
          <w:sz w:val="22"/>
        </w:rPr>
        <w:t xml:space="preserve">Investigative powers. </w:t>
      </w:r>
      <w:r>
        <w:rPr>
          <w:rFonts w:ascii="Times New Roman" w:hAnsi="Times New Roman"/>
          <w:b w:val="false"/>
          <w:i w:val="false"/>
          <w:color w:val="000000"/>
          <w:sz w:val="22"/>
        </w:rPr>
        <w:t>The commissioner or the authorized designee shall have the following powers: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commissioner may hold hearings and investigate charges of violations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Entry into place of employment. </w:t>
      </w:r>
      <w:r>
        <w:rPr>
          <w:rFonts w:ascii="Times New Roman" w:hAnsi="Times New Roman"/>
          <w:b w:val="false"/>
          <w:i w:val="false"/>
          <w:color w:val="000000"/>
          <w:sz w:val="22"/>
        </w:rPr>
        <w:t>The commissioner may, consistent with due process of law, enter any place of employment to inspect records concerning labor force residency, to question an employer or employee, and to investigate those facts, conditions, or matters as are deemed appropriate in determining whether any person has violated the provisions of the Act. The commissioner shall only make an entry into a place of employment in response to a written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Residency of workers. </w:t>
      </w:r>
      <w:r>
        <w:rPr>
          <w:rFonts w:ascii="Times New Roman" w:hAnsi="Times New Roman"/>
          <w:b w:val="false"/>
          <w:i w:val="false"/>
          <w:color w:val="000000"/>
          <w:sz w:val="22"/>
        </w:rPr>
        <w:t>The commissioner may investigate and ascertain the residency of a worker engaged in any public improvement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Oaths; depositions; subpoenas. </w:t>
      </w:r>
      <w:r>
        <w:rPr>
          <w:rFonts w:ascii="Times New Roman" w:hAnsi="Times New Roman"/>
          <w:b w:val="false"/>
          <w:i w:val="false"/>
          <w:color w:val="000000"/>
          <w:sz w:val="22"/>
        </w:rPr>
        <w:t>The commissioner may administer oaths, take or cause to be taken deposition of witnesses, and require by subpoena the attendance and testimony of witnesses and the production of all books, registers, payrolls, and other evidence relevant to a matter under investigation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of personnel. </w:t>
      </w:r>
      <w:r>
        <w:rPr>
          <w:rFonts w:ascii="Times New Roman" w:hAnsi="Times New Roman"/>
          <w:b w:val="false"/>
          <w:i w:val="false"/>
          <w:color w:val="000000"/>
          <w:sz w:val="22"/>
        </w:rPr>
        <w:t xml:space="preserve">The commissioner may employ qualified personnel as are necessary for the enforcement of Iowa Code section </w:t>
      </w:r>
      <w:hyperlink r:id="rId14">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 xml:space="preserve">. The personnel shall be employed pursuant to the merit system provisions of Iowa Code chapter </w:t>
      </w:r>
      <w:hyperlink r:id="rId1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Request for records. </w:t>
      </w:r>
      <w:r>
        <w:rPr>
          <w:rFonts w:ascii="Times New Roman" w:hAnsi="Times New Roman"/>
          <w:b w:val="false"/>
          <w:i w:val="false"/>
          <w:color w:val="000000"/>
          <w:sz w:val="22"/>
        </w:rPr>
        <w:t xml:space="preserve">The commissioner shall require a contractor or subcontractor to file, within 10 days of receipt of a request, any records enumerated in rule </w:t>
      </w:r>
      <w:hyperlink r:id="rId16">
        <w:r>
          <w:rPr>
            <w:rStyle w:val="Hyperlink"/>
            <w:rFonts w:ascii="Times New Roman" w:hAnsi="Times New Roman"/>
            <w:b w:val="false"/>
            <w:i w:val="false"/>
            <w:color w:val="000000"/>
            <w:sz w:val="22"/>
          </w:rPr>
          <w:t>875—156.5</w:t>
        </w:r>
      </w:hyperlink>
      <w:r>
        <w:rPr>
          <w:rFonts w:ascii="Times New Roman" w:hAnsi="Times New Roman"/>
          <w:b w:val="false"/>
          <w:i w:val="false"/>
          <w:color w:val="000000"/>
          <w:sz w:val="22"/>
        </w:rPr>
        <w:t>(73A). If the contractor or subcontractor fails to provide the requested records within 10 days, the commissioner may direct, within 15 days after the end of the 10-day period, that the fiscal or financial office charged with the custody and disbursement of funds of the public body that contracted for construction of the public improvement or undertook the public improvement, to withhold immediately from payment to the contractor or subcontractor up to 25 percent of the amount to be paid to the contractor or subcontractor under the terms of the contract or written instrument under which the public improvement is being performed. The amount withheld shall be immediately released upon receipt by the public body of a notice from the commissioner indicating that the request for records as required by this paragraph has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color w:val="000000"/>
          <w:sz w:val="22"/>
        </w:rPr>
        <w:t xml:space="preserve">Division determination. </w:t>
      </w:r>
      <w:r>
        <w:rPr>
          <w:rFonts w:ascii="Times New Roman" w:hAnsi="Times New Roman"/>
          <w:b w:val="false"/>
          <w:i w:val="false"/>
          <w:color w:val="000000"/>
          <w:sz w:val="22"/>
        </w:rPr>
        <w:t>Upon conclusion of an investigation, the commissioner or an authorized designee shall issue a written determination to the party that was the subject of the investigation. The determination shall indicate whether or not the division finds a violation of the Act by the party. If the determination indicates that the party engaged in a violation of the Act, the determination shall also indicate the remedies the division intends to pursue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A party seeking review of the division’s determination pursuant to this rule may file a written request for an informal conference. The request must be received by the division within 15 days after the date of issuance of the division’s determination. During the conference, the party seeking review may present written or oral information and arguments as to why the division’s determination should be amended or vacated. The division shall consider the information and arguments presented and issue a written decision advising all parties of the outcome of the informal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875—156.7</w:t>
      </w:r>
      <w:r>
        <w:rPr>
          <w:rFonts w:ascii="Times New Roman" w:hAnsi="Times New Roman"/>
          <w:b/>
          <w:i w:val="false"/>
          <w:color w:val="000000"/>
          <w:sz w:val="22"/>
        </w:rPr>
        <w:t xml:space="preserve">(73A) </w:t>
      </w:r>
      <w:r>
        <w:rPr>
          <w:rFonts w:ascii="Times New Roman" w:hAnsi="Times New Roman"/>
          <w:b/>
          <w:i w:val="false"/>
          <w:color w:val="000000"/>
          <w:sz w:val="22"/>
        </w:rPr>
        <w:t xml:space="preserve">Remedies. </w:t>
      </w:r>
      <w:r>
        <w:rPr>
          <w:rFonts w:ascii="Times New Roman" w:hAnsi="Times New Roman"/>
          <w:b w:val="false"/>
          <w:i w:val="false"/>
          <w:color w:val="000000"/>
          <w:sz w:val="22"/>
        </w:rPr>
        <w:t>Following the conclusion of the informal conference, or following the expiration of the time in which a party may file a written request for an informal conference, the division may pursue the following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color w:val="000000"/>
          <w:sz w:val="22"/>
        </w:rPr>
        <w:t xml:space="preserve">Injunctive relief. </w:t>
      </w:r>
      <w:r>
        <w:rPr>
          <w:rFonts w:ascii="Times New Roman" w:hAnsi="Times New Roman"/>
          <w:b w:val="false"/>
          <w:i w:val="false"/>
          <w:color w:val="000000"/>
          <w:sz w:val="22"/>
        </w:rPr>
        <w:t>If the division determines that a violation of the Act has occurred, the division may sue for injunctive relief against the awarding of a contract, the undertaking of a public improvement, or the continuation of a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Any person or entity that violates the provisions of this chapter is subject to a civil penalty in an amount not to exceed $1,000 for each violation found in a first investigation by the division, not to exceed $5,000 for each violation found in a second investigation by the division, and not to exceed $15,000 for a third or subsequent violation found in any subsequent investigation by the division. Each violation of this chapter for each worker and for each day the violation continues constitutes a separate and distinct violation. In determining the amount of the penalty, the division shall consider the appropriateness of the penalty to the person or entity charged, upon determination of the gravity of the violation(s). The collection of these penalties shall be enforced in a civil action brought by the attorney general on behalf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875—156.8</w:t>
      </w:r>
      <w:r>
        <w:rPr>
          <w:rFonts w:ascii="Times New Roman" w:hAnsi="Times New Roman"/>
          <w:b/>
          <w:i w:val="false"/>
          <w:color w:val="000000"/>
          <w:sz w:val="22"/>
        </w:rPr>
        <w:t xml:space="preserve">(73A) </w:t>
      </w:r>
      <w:r>
        <w:rPr>
          <w:rFonts w:ascii="Times New Roman" w:hAnsi="Times New Roman"/>
          <w:b/>
          <w:i w:val="false"/>
          <w:color w:val="000000"/>
          <w:sz w:val="22"/>
        </w:rPr>
        <w:t xml:space="preserve">Compliance with federal law. </w:t>
      </w:r>
      <w:r>
        <w:rPr>
          <w:rFonts w:ascii="Times New Roman" w:hAnsi="Times New Roman"/>
          <w:b w:val="false"/>
          <w:i w:val="false"/>
          <w:color w:val="000000"/>
          <w:sz w:val="22"/>
        </w:rPr>
        <w:t>If it is determined that application of this chapter and the Act may cause denial of federal funds which would otherwise be available for a public improvement, or would otherwise be inconsistent with requirements of any federal law or regulation, the application of this chapter shall be suspended to the extent necessary to prevent denial of the funds or to eliminate the inconsistency with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875—156.9</w:t>
      </w:r>
      <w:r>
        <w:rPr>
          <w:rFonts w:ascii="Times New Roman" w:hAnsi="Times New Roman"/>
          <w:b/>
          <w:i w:val="false"/>
          <w:color w:val="000000"/>
          <w:sz w:val="22"/>
        </w:rPr>
        <w:t xml:space="preserve">(73A)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under this chapter, any portion of a rule under this chapter, or the applicability of any rule under this chapter to any person or circumstance is held invalid by a court, the remainder of these rules or the rules’ applicability to other persons or circumstances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1271C</w:t>
      </w:r>
      <w:r>
        <w:rPr>
          <w:rFonts w:ascii="Times New Roman" w:hAnsi="Times New Roman"/>
          <w:b w:val="false"/>
          <w:i w:val="false"/>
          <w:color w:val="000000"/>
          <w:sz w:val="21"/>
        </w:rPr>
        <w:t xml:space="preserve"> (Notice ARC 1160C,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3A.21.pdf" Type="http://schemas.openxmlformats.org/officeDocument/2006/relationships/hyperlink" Id="rId5"/>
    <Relationship TargetMode="External" Target="https://www.legis.iowa.gov/docs/ico/chapter/73A.21.pdf" Type="http://schemas.openxmlformats.org/officeDocument/2006/relationships/hyperlink" Id="rId6"/>
    <Relationship TargetMode="External" Target="https://www.legis.iowa.gov/docs/ico/chapter/91.2.pdf" Type="http://schemas.openxmlformats.org/officeDocument/2006/relationships/hyperlink" Id="rId7"/>
    <Relationship TargetMode="External" Target="https://www.legis.iowa.gov/docs/iac/rule/875.156.2.pdf" Type="http://schemas.openxmlformats.org/officeDocument/2006/relationships/hyperlink" Id="rId8"/>
    <Relationship TargetMode="External" Target="https://www.legis.iowa.gov/docs/ico/chapter/486A.105.pdf" Type="http://schemas.openxmlformats.org/officeDocument/2006/relationships/hyperlink" Id="rId9"/>
    <Relationship TargetMode="External" Target="https://www.legis.iowa.gov/docs/ico/chapter/490.pdf" Type="http://schemas.openxmlformats.org/officeDocument/2006/relationships/hyperlink" Id="rId10"/>
    <Relationship TargetMode="External" Target="https://www.legis.iowa.gov/docs/ico/chapter/91C.pdf" Type="http://schemas.openxmlformats.org/officeDocument/2006/relationships/hyperlink" Id="rId11"/>
    <Relationship TargetMode="External" Target="https://www.legis.iowa.gov/docs/iac/rule/875.156.4.pdf" Type="http://schemas.openxmlformats.org/officeDocument/2006/relationships/hyperlink" Id="rId12"/>
    <Relationship TargetMode="External" Target="https://www.legis.iowa.gov/docs/iac/rule/875.156.4.pdf" Type="http://schemas.openxmlformats.org/officeDocument/2006/relationships/hyperlink" Id="rId13"/>
    <Relationship TargetMode="External" Target="https://www.legis.iowa.gov/docs/ico/chapter/73A.21.pdf" Type="http://schemas.openxmlformats.org/officeDocument/2006/relationships/hyperlink" Id="rId14"/>
    <Relationship TargetMode="External" Target="https://www.legis.iowa.gov/docs/ico/chapter/8A.pdf" Type="http://schemas.openxmlformats.org/officeDocument/2006/relationships/hyperlink" Id="rId15"/>
    <Relationship TargetMode="External" Target="https://www.legis.iowa.gov/docs/iac/rule/875.156.5.pdf" Type="http://schemas.openxmlformats.org/officeDocument/2006/relationships/hyperlink" Id="rId16"/>
    <Relationship TargetMode="External" Target="https://www.legis.iowa.gov/docs/ico/chapter/73A.21.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