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76</w:t>
      </w:r>
    </w:p>
    <w:p>
      <w:pPr>
        <w:spacing w:before="0" w:after="0"/>
        <w:ind w:left="120"/>
        <w:jc w:val="center"/>
      </w:pPr>
      <w:r>
        <w:rPr>
          <w:rFonts w:ascii="Times New Roman" w:hAnsi="Times New Roman"/>
          <w:b w:val="false"/>
          <w:i w:val="false"/>
          <w:color w:val="000000"/>
          <w:sz w:val="21"/>
        </w:rPr>
        <w:t>ADULT EDUCATION AND LITERACY PROGRAMS</w:t>
      </w:r>
    </w:p>
    <w:p>
      <w:pPr>
        <w:spacing w:before="0" w:after="0"/>
        <w:ind w:left="120"/>
        <w:jc w:val="center"/>
      </w:pPr>
      <w:r>
        <w:rPr>
          <w:rFonts w:ascii="Times New Roman" w:hAnsi="Times New Roman"/>
          <w:b w:val="false"/>
          <w:i w:val="false"/>
          <w:color w:val="000000"/>
          <w:sz w:val="14"/>
        </w:rPr>
        <w:t>[Prior to 9/7/88, see Public Instruction Department[670] Ch 34]</w:t>
      </w:r>
    </w:p>
    <w:p>
      <w:pPr>
        <w:spacing w:before="0" w:after="0"/>
        <w:ind w:left="120"/>
        <w:jc w:val="center"/>
      </w:pPr>
      <w:r>
        <w:rPr>
          <w:rFonts w:ascii="Times New Roman" w:hAnsi="Times New Roman"/>
          <w:b w:val="false"/>
          <w:i w:val="false"/>
          <w:color w:val="000000"/>
          <w:sz w:val="14"/>
        </w:rPr>
        <w:t>[Prior to 8/23/23, see Education Department[281] Ch 23]</w:t>
      </w:r>
    </w:p>
    <w:p>
      <w:pPr>
        <w:spacing w:before="0" w:after="0"/>
        <w:ind w:left="120"/>
        <w:jc w:val="center"/>
      </w:pPr>
      <w:r>
        <w:rPr>
          <w:rFonts w:ascii="Times New Roman" w:hAnsi="Times New Roman"/>
          <w:b w:val="false"/>
          <w:i w:val="false"/>
          <w:color w:val="000000"/>
          <w:sz w:val="14"/>
        </w:rPr>
        <w:t>[Prior to 5/14/25, see Workforce Development Board, State[877] Ch 32]</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5/8/29</w:t>
      </w:r>
    </w:p>
    <w:p>
      <w:pPr>
        <w:spacing w:before="0" w:after="0"/>
        <w:ind w:left="120"/>
        <w:jc w:val="both"/>
      </w:pPr>
      <w:r>
        <w:rPr>
          <w:rFonts w:ascii="Times New Roman" w:hAnsi="Times New Roman"/>
          <w:b/>
          <w:i w:val="false"/>
          <w:color w:val="000000"/>
          <w:sz w:val="22"/>
        </w:rPr>
        <w:t>871—76.1</w:t>
      </w:r>
      <w:r>
        <w:rPr>
          <w:rFonts w:ascii="Times New Roman" w:hAnsi="Times New Roman"/>
          <w:b/>
          <w:i w:val="false"/>
          <w:color w:val="000000"/>
          <w:sz w:val="22"/>
        </w:rPr>
        <w:t xml:space="preserve">(84A)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“Act” </w:t>
      </w:r>
      <w:r>
        <w:rPr>
          <w:rFonts w:ascii="Times New Roman" w:hAnsi="Times New Roman"/>
          <w:b w:val="false"/>
          <w:i w:val="false"/>
          <w:color w:val="000000"/>
          <w:sz w:val="22"/>
        </w:rPr>
        <w:t>means the Adult Education and Family Literacy Act, 29 U.S.C. Sections 3101 et seq.</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“Adult education and literacy program” </w:t>
      </w:r>
      <w:r>
        <w:rPr>
          <w:rFonts w:ascii="Times New Roman" w:hAnsi="Times New Roman"/>
          <w:b w:val="false"/>
          <w:i w:val="false"/>
          <w:color w:val="000000"/>
          <w:sz w:val="22"/>
        </w:rPr>
        <w:t xml:space="preserve">means the same as “adult education and literacy programs” defined in Iowa Code section </w:t>
      </w:r>
      <w:hyperlink r:id="rId5">
        <w:r>
          <w:rPr>
            <w:rStyle w:val="Hyperlink"/>
            <w:rFonts w:ascii="Times New Roman" w:hAnsi="Times New Roman"/>
            <w:b w:val="false"/>
            <w:i w:val="false"/>
            <w:color w:val="000000"/>
            <w:sz w:val="22"/>
          </w:rPr>
          <w:t>84A.19</w:t>
        </w:r>
      </w:hyperlink>
      <w:r>
        <w:rPr>
          <w:rFonts w:ascii="Times New Roman" w:hAnsi="Times New Roman"/>
          <w:b w:val="false"/>
          <w:i w:val="false"/>
          <w:color w:val="000000"/>
          <w:sz w:val="22"/>
        </w:rPr>
        <w:t>, as well as other activities specified in the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“Career pathways” </w:t>
      </w:r>
      <w:r>
        <w:rPr>
          <w:rFonts w:ascii="Times New Roman" w:hAnsi="Times New Roman"/>
          <w:b w:val="false"/>
          <w:i w:val="false"/>
          <w:color w:val="000000"/>
          <w:sz w:val="22"/>
        </w:rPr>
        <w:t>means the same as defined in 29 U.S.C. Section 3102, subsection 7, with the exception of item (F).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“Coordinator” </w:t>
      </w:r>
      <w:r>
        <w:rPr>
          <w:rFonts w:ascii="Times New Roman" w:hAnsi="Times New Roman"/>
          <w:b w:val="false"/>
          <w:i w:val="false"/>
          <w:color w:val="000000"/>
          <w:sz w:val="22"/>
        </w:rPr>
        <w:t>means the person(s) responsible for making decisions for the adult education and literacy program at the local level.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Iowa department of workforce development.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“English as a second language” </w:t>
      </w:r>
      <w:r>
        <w:rPr>
          <w:rFonts w:ascii="Times New Roman" w:hAnsi="Times New Roman"/>
          <w:b w:val="false"/>
          <w:i w:val="false"/>
          <w:color w:val="000000"/>
          <w:sz w:val="22"/>
        </w:rPr>
        <w:t>means a structured language acquisition program designed to teach English to students whose native language is other than English.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“Intake” </w:t>
      </w:r>
      <w:r>
        <w:rPr>
          <w:rFonts w:ascii="Times New Roman" w:hAnsi="Times New Roman"/>
          <w:b w:val="false"/>
          <w:i w:val="false"/>
          <w:color w:val="000000"/>
          <w:sz w:val="22"/>
        </w:rPr>
        <w:t>means admittance and enrollment in an adult education and literacy program operated by an eligible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“Professional staff” </w:t>
      </w:r>
      <w:r>
        <w:rPr>
          <w:rFonts w:ascii="Times New Roman" w:hAnsi="Times New Roman"/>
          <w:b w:val="false"/>
          <w:i w:val="false"/>
          <w:color w:val="000000"/>
          <w:sz w:val="22"/>
        </w:rPr>
        <w:t>means all staff who are engaged in providing services, including instruction and data entry, for individuals who are eligible for adult education and literacy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“State assessment policy” </w:t>
      </w:r>
      <w:r>
        <w:rPr>
          <w:rFonts w:ascii="Times New Roman" w:hAnsi="Times New Roman"/>
          <w:b w:val="false"/>
          <w:i w:val="false"/>
          <w:color w:val="000000"/>
          <w:sz w:val="22"/>
        </w:rPr>
        <w:t>means a federally approved policy that stipulates the use of a standardized assessment, scoring and reporting protocols, certification requirements for test administrators, and the protocol for tracking test and attendance data.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“State plan” </w:t>
      </w:r>
      <w:r>
        <w:rPr>
          <w:rFonts w:ascii="Times New Roman" w:hAnsi="Times New Roman"/>
          <w:b w:val="false"/>
          <w:i w:val="false"/>
          <w:color w:val="000000"/>
          <w:sz w:val="22"/>
        </w:rPr>
        <w:t xml:space="preserve">means the compliance document that outlines Iowa’s workforce development system four-year strategy for providing workforce services, including adult education and literacy, to Iowans and employers. State planning shall be developed in accordance with applicable federal legislation.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“Volunteer staff” </w:t>
      </w:r>
      <w:r>
        <w:rPr>
          <w:rFonts w:ascii="Times New Roman" w:hAnsi="Times New Roman"/>
          <w:b w:val="false"/>
          <w:i w:val="false"/>
          <w:color w:val="000000"/>
          <w:sz w:val="22"/>
        </w:rPr>
        <w:t>means all non-paid persons who perform services, including individualized instruction and data entry, for individuals who are eligible for adult education and literacy programs.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7750C</w:t>
      </w:r>
      <w:r>
        <w:rPr>
          <w:rFonts w:ascii="Times New Roman" w:hAnsi="Times New Roman"/>
          <w:b w:val="false"/>
          <w:i w:val="false"/>
          <w:color w:val="000000"/>
          <w:sz w:val="16"/>
        </w:rPr>
        <w:t>, IAB 4/3/24, effective 5/8/24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5/14/25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871—76.2</w:t>
      </w:r>
      <w:r>
        <w:rPr>
          <w:rFonts w:ascii="Times New Roman" w:hAnsi="Times New Roman"/>
          <w:b/>
          <w:i w:val="false"/>
          <w:color w:val="000000"/>
          <w:sz w:val="22"/>
        </w:rPr>
        <w:t xml:space="preserve">(84A) </w:t>
      </w:r>
      <w:r>
        <w:rPr>
          <w:rFonts w:ascii="Times New Roman" w:hAnsi="Times New Roman"/>
          <w:b/>
          <w:i w:val="false"/>
          <w:color w:val="000000"/>
          <w:sz w:val="22"/>
        </w:rPr>
        <w:t xml:space="preserve">Program administration. </w:t>
      </w:r>
      <w:r>
        <w:rPr>
          <w:rFonts w:ascii="Times New Roman" w:hAnsi="Times New Roman"/>
          <w:b w:val="false"/>
          <w:i w:val="false"/>
          <w:color w:val="000000"/>
          <w:sz w:val="22"/>
        </w:rPr>
        <w:t>The department is designated as the agency responsible for administration of state and federally funded adult basic education programs and for supervision of the administration of adult basic education programs. The department is responsible for the allocation and distribution of state and federal funds awarded to eligible providers for adult basic education programs through a grant application in accordance with this chapter and with the state plan.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76.2(1)</w:t>
      </w:r>
      <w:r>
        <w:rPr>
          <w:rFonts w:ascii="Times New Roman" w:hAnsi="Times New Roman"/>
          <w:b w:val="false"/>
          <w:i w:val="false"/>
          <w:color w:val="000000"/>
          <w:sz w:val="22"/>
        </w:rPr>
        <w:t> </w:t>
      </w:r>
      <w:r>
        <w:rPr>
          <w:rFonts w:ascii="Times New Roman" w:hAnsi="Times New Roman"/>
          <w:b w:val="false"/>
          <w:i/>
          <w:color w:val="000000"/>
          <w:sz w:val="22"/>
        </w:rPr>
        <w:t xml:space="preserve">Eligible providers. </w:t>
      </w:r>
      <w:r>
        <w:rPr>
          <w:rFonts w:ascii="Times New Roman" w:hAnsi="Times New Roman"/>
          <w:b w:val="false"/>
          <w:i w:val="false"/>
          <w:color w:val="000000"/>
          <w:sz w:val="22"/>
        </w:rPr>
        <w:t>Eligible providers are eligible entities as defined by the Adult Education and Family Literacy Act, 20 U.S.C. Ch.</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73, and subsequent federal workforce training and adult education legislation, and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76.2(2)</w:t>
      </w:r>
      <w:r>
        <w:rPr>
          <w:rFonts w:ascii="Times New Roman" w:hAnsi="Times New Roman"/>
          <w:b w:val="false"/>
          <w:i w:val="false"/>
          <w:color w:val="000000"/>
          <w:sz w:val="22"/>
        </w:rPr>
        <w:t> </w:t>
      </w:r>
      <w:r>
        <w:rPr>
          <w:rFonts w:ascii="Times New Roman" w:hAnsi="Times New Roman"/>
          <w:b w:val="false"/>
          <w:i/>
          <w:color w:val="000000"/>
          <w:sz w:val="22"/>
        </w:rPr>
        <w:t xml:space="preserve">Program components.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eligible provider will maintain the ability to provide the following adult education and literacy services as deemed appropriate by the community or needs of the students: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Adult basic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Programs for adults who are English learners;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Adult secondary education, including programs leading to the achievement of a high school equivalency certificate or high school diploma;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Instructional services provided by qualified instructors as defined in subrule </w:t>
      </w:r>
      <w:hyperlink r:id="rId6">
        <w:r>
          <w:rPr>
            <w:rStyle w:val="Hyperlink"/>
            <w:rFonts w:ascii="Times New Roman" w:hAnsi="Times New Roman"/>
            <w:b w:val="false"/>
            <w:i w:val="false"/>
            <w:color w:val="000000"/>
            <w:sz w:val="22"/>
          </w:rPr>
          <w:t>76.6(1)</w:t>
        </w:r>
      </w:hyperlink>
      <w:r>
        <w:rPr>
          <w:rFonts w:ascii="Times New Roman" w:hAnsi="Times New Roman"/>
          <w:b w:val="false"/>
          <w:i w:val="false"/>
          <w:color w:val="000000"/>
          <w:sz w:val="22"/>
        </w:rPr>
        <w:t xml:space="preserve"> to improve student proficiencies necessary to function effectively in adult life, including accessing further education, employment-related training, or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Assessment and guidance services adhering to the state’s assessment policy;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Programs and services stipulated by current and subsequent federal and state adult education legislation.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Providers effectively use technology, services, and delivery systems, including distance education, in a manner sufficient to increase the amount and quality of student learning and performance.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Providers ensure a student acquires the skills needed to transition to and complete postsecondary education and training programs and obtain and advance in employment leading to economic self-sufficiency.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76.2(3)</w:t>
      </w:r>
      <w:r>
        <w:rPr>
          <w:rFonts w:ascii="Times New Roman" w:hAnsi="Times New Roman"/>
          <w:b w:val="false"/>
          <w:i w:val="false"/>
          <w:color w:val="000000"/>
          <w:sz w:val="22"/>
        </w:rPr>
        <w:t> </w:t>
      </w:r>
      <w:r>
        <w:rPr>
          <w:rFonts w:ascii="Times New Roman" w:hAnsi="Times New Roman"/>
          <w:b w:val="false"/>
          <w:i/>
          <w:color w:val="000000"/>
          <w:sz w:val="22"/>
        </w:rPr>
        <w:t xml:space="preserve">Local planning.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Adult education and literacy programs are to collaborate and enter into agreements with multiple partners in the community for the purpose of establishing a local plan. Such plans are to expand the services available to adult learners, align with the strategies and goals established by the state plan, and prevent duplication of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adult education and literacy program’s agreement will not be formalized until the local plan is approved by the department. A plan will be approved if the plan complies with the standards and criteria outlined in this chapter, federal adult education and family literacy legislation, and the strategies and goals of the state plan as defined in the local plan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Local plans may be approved by the state for single or multiple years.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76.2(4)</w:t>
      </w:r>
      <w:r>
        <w:rPr>
          <w:rFonts w:ascii="Times New Roman" w:hAnsi="Times New Roman"/>
          <w:b w:val="false"/>
          <w:i w:val="false"/>
          <w:color w:val="000000"/>
          <w:sz w:val="22"/>
        </w:rPr>
        <w:t> </w:t>
      </w:r>
      <w:r>
        <w:rPr>
          <w:rFonts w:ascii="Times New Roman" w:hAnsi="Times New Roman"/>
          <w:b w:val="false"/>
          <w:i/>
          <w:color w:val="000000"/>
          <w:sz w:val="22"/>
        </w:rPr>
        <w:t xml:space="preserve">Federal funding. </w:t>
      </w:r>
      <w:r>
        <w:rPr>
          <w:rFonts w:ascii="Times New Roman" w:hAnsi="Times New Roman"/>
          <w:b w:val="false"/>
          <w:i w:val="false"/>
          <w:color w:val="000000"/>
          <w:sz w:val="22"/>
        </w:rPr>
        <w:t>Federal funds received by an adult education and literacy program are not to be expended for any purpose other than authorized activities pursuant to the 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76.2(5)</w:t>
      </w:r>
      <w:r>
        <w:rPr>
          <w:rFonts w:ascii="Times New Roman" w:hAnsi="Times New Roman"/>
          <w:b w:val="false"/>
          <w:i w:val="false"/>
          <w:color w:val="000000"/>
          <w:sz w:val="22"/>
        </w:rPr>
        <w:t> </w:t>
      </w:r>
      <w:r>
        <w:rPr>
          <w:rFonts w:ascii="Times New Roman" w:hAnsi="Times New Roman"/>
          <w:b w:val="false"/>
          <w:i/>
          <w:color w:val="000000"/>
          <w:sz w:val="22"/>
        </w:rPr>
        <w:t xml:space="preserve">State funding. </w:t>
      </w:r>
      <w:r>
        <w:rPr>
          <w:rFonts w:ascii="Times New Roman" w:hAnsi="Times New Roman"/>
          <w:b w:val="false"/>
          <w:i w:val="false"/>
          <w:color w:val="000000"/>
          <w:sz w:val="22"/>
        </w:rPr>
        <w:t>Moneys received from state funding sources for adult education and literacy programs are to be used in the manner described in this subrule. All funds are to be used to expand services and improve the quality of adult education and literacy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Use of funds. </w:t>
      </w:r>
      <w:r>
        <w:rPr>
          <w:rFonts w:ascii="Times New Roman" w:hAnsi="Times New Roman"/>
          <w:b w:val="false"/>
          <w:i w:val="false"/>
          <w:color w:val="000000"/>
          <w:sz w:val="22"/>
        </w:rPr>
        <w:t>State funding may only be expended 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Allowable uses pursuant to the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High school equivalency testing and associated costs.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Restrictions. </w:t>
      </w:r>
      <w:r>
        <w:rPr>
          <w:rFonts w:ascii="Times New Roman" w:hAnsi="Times New Roman"/>
          <w:b w:val="false"/>
          <w:i w:val="false"/>
          <w:color w:val="000000"/>
          <w:sz w:val="22"/>
        </w:rPr>
        <w:t>In expending state funding, adult education and literacy programs shall adhere to the allowable use provisions of the Act, except for administrative cost provisions.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Reporting. </w:t>
      </w:r>
      <w:r>
        <w:rPr>
          <w:rFonts w:ascii="Times New Roman" w:hAnsi="Times New Roman"/>
          <w:b w:val="false"/>
          <w:i w:val="false"/>
          <w:color w:val="000000"/>
          <w:sz w:val="22"/>
        </w:rPr>
        <w:t>All reporting for state funding will adhere to a summary of financial transactions related to the adult education and literacy program’s resources and expenses in a format prescribed by the department. Adult education and literacy programs will submit quarterly reports to the department on dates to be set by the department. A year-end report will be submitted to the department no later than October 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76.2(6)</w:t>
      </w:r>
      <w:r>
        <w:rPr>
          <w:rFonts w:ascii="Times New Roman" w:hAnsi="Times New Roman"/>
          <w:b w:val="false"/>
          <w:i w:val="false"/>
          <w:color w:val="000000"/>
          <w:sz w:val="22"/>
        </w:rPr>
        <w:t> </w:t>
      </w:r>
      <w:r>
        <w:rPr>
          <w:rFonts w:ascii="Times New Roman" w:hAnsi="Times New Roman"/>
          <w:b w:val="false"/>
          <w:i/>
          <w:color w:val="000000"/>
          <w:sz w:val="22"/>
        </w:rPr>
        <w:t xml:space="preserve">English as a second language. </w:t>
      </w:r>
      <w:r>
        <w:rPr>
          <w:rFonts w:ascii="Times New Roman" w:hAnsi="Times New Roman"/>
          <w:b w:val="false"/>
          <w:i w:val="false"/>
          <w:color w:val="000000"/>
          <w:sz w:val="22"/>
        </w:rPr>
        <w:t xml:space="preserve">In addition to meeting subrules </w:t>
      </w:r>
      <w:hyperlink r:id="rId7">
        <w:r>
          <w:rPr>
            <w:rStyle w:val="Hyperlink"/>
            <w:rFonts w:ascii="Times New Roman" w:hAnsi="Times New Roman"/>
            <w:b w:val="false"/>
            <w:i w:val="false"/>
            <w:color w:val="000000"/>
            <w:sz w:val="22"/>
          </w:rPr>
          <w:t>76.2(1) through 76.2(5)</w:t>
        </w:r>
      </w:hyperlink>
      <w:r>
        <w:rPr>
          <w:rFonts w:ascii="Times New Roman" w:hAnsi="Times New Roman"/>
          <w:b w:val="false"/>
          <w:i w:val="false"/>
          <w:color w:val="000000"/>
          <w:sz w:val="22"/>
        </w:rPr>
        <w:t>, English as a second language programs are to adhere to the following provisions.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Distribution and allocation. </w:t>
      </w:r>
      <w:r>
        <w:rPr>
          <w:rFonts w:ascii="Times New Roman" w:hAnsi="Times New Roman"/>
          <w:b w:val="false"/>
          <w:i w:val="false"/>
          <w:color w:val="000000"/>
          <w:sz w:val="22"/>
        </w:rPr>
        <w:t>The department will prescribe the distribution and allocation of funding, based on need for instruction in English as a second language in the region served by each community college, as measured by census data, survey data, and local outreach efforts and results.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Midyear reporting. </w:t>
      </w:r>
      <w:r>
        <w:rPr>
          <w:rFonts w:ascii="Times New Roman" w:hAnsi="Times New Roman"/>
          <w:b w:val="false"/>
          <w:i w:val="false"/>
          <w:color w:val="000000"/>
          <w:sz w:val="22"/>
        </w:rPr>
        <w:t>English as a second language programs will include a narrative describing the progress and attainment of benchmarks established by the department. The report is to be provided to the department midway through the academic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76.2(7)</w:t>
      </w:r>
      <w:r>
        <w:rPr>
          <w:rFonts w:ascii="Times New Roman" w:hAnsi="Times New Roman"/>
          <w:b w:val="false"/>
          <w:i w:val="false"/>
          <w:color w:val="000000"/>
          <w:sz w:val="22"/>
        </w:rPr>
        <w:t> </w:t>
      </w:r>
      <w:r>
        <w:rPr>
          <w:rFonts w:ascii="Times New Roman" w:hAnsi="Times New Roman"/>
          <w:b w:val="false"/>
          <w:i/>
          <w:color w:val="000000"/>
          <w:sz w:val="22"/>
        </w:rPr>
        <w:t xml:space="preserve">Funding allocation. </w:t>
      </w:r>
      <w:r>
        <w:rPr>
          <w:rFonts w:ascii="Times New Roman" w:hAnsi="Times New Roman"/>
          <w:b w:val="false"/>
          <w:i w:val="false"/>
          <w:color w:val="000000"/>
          <w:sz w:val="22"/>
        </w:rPr>
        <w:t>The department will be responsible for the allocation and distribution of state and federal funds for adult basic education programs in accordance with these rules and with the state plan. The state has the right under federal legislation to establish the funding formula and to issue a competitive bidding process.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7750C</w:t>
      </w:r>
      <w:r>
        <w:rPr>
          <w:rFonts w:ascii="Times New Roman" w:hAnsi="Times New Roman"/>
          <w:b w:val="false"/>
          <w:i w:val="false"/>
          <w:color w:val="000000"/>
          <w:sz w:val="16"/>
        </w:rPr>
        <w:t>, IAB 4/3/24, effective 5/8/24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5/14/25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871—76.3</w:t>
      </w:r>
      <w:r>
        <w:rPr>
          <w:rFonts w:ascii="Times New Roman" w:hAnsi="Times New Roman"/>
          <w:b/>
          <w:i w:val="false"/>
          <w:color w:val="000000"/>
          <w:sz w:val="22"/>
        </w:rPr>
        <w:t xml:space="preserve">(84A) </w:t>
      </w:r>
      <w:r>
        <w:rPr>
          <w:rFonts w:ascii="Times New Roman" w:hAnsi="Times New Roman"/>
          <w:b/>
          <w:i w:val="false"/>
          <w:color w:val="000000"/>
          <w:sz w:val="22"/>
        </w:rPr>
        <w:t xml:space="preserve">References. </w:t>
      </w:r>
      <w:r>
        <w:rPr>
          <w:rFonts w:ascii="Times New Roman" w:hAnsi="Times New Roman"/>
          <w:b w:val="false"/>
          <w:i w:val="false"/>
          <w:color w:val="000000"/>
          <w:sz w:val="22"/>
        </w:rPr>
        <w:t>All references to the United States Code (U.S.C.) and Iowa Adult Education Professional Development Standards in this chapter are as amended to November 1, 2023.</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7750C</w:t>
      </w:r>
      <w:r>
        <w:rPr>
          <w:rFonts w:ascii="Times New Roman" w:hAnsi="Times New Roman"/>
          <w:b w:val="false"/>
          <w:i w:val="false"/>
          <w:color w:val="000000"/>
          <w:sz w:val="16"/>
        </w:rPr>
        <w:t>, IAB 4/3/24, effective 5/8/24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5/14/25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871—76.4</w:t>
      </w:r>
      <w:r>
        <w:rPr>
          <w:rFonts w:ascii="Times New Roman" w:hAnsi="Times New Roman"/>
          <w:b/>
          <w:i w:val="false"/>
          <w:color w:val="000000"/>
          <w:sz w:val="22"/>
        </w:rPr>
        <w:t xml:space="preserve">(84A) </w:t>
      </w:r>
      <w:r>
        <w:rPr>
          <w:rFonts w:ascii="Times New Roman" w:hAnsi="Times New Roman"/>
          <w:b/>
          <w:i w:val="false"/>
          <w:color w:val="000000"/>
          <w:sz w:val="22"/>
        </w:rPr>
        <w:t xml:space="preserve">Career pathways. </w:t>
      </w:r>
      <w:r>
        <w:rPr>
          <w:rFonts w:ascii="Times New Roman" w:hAnsi="Times New Roman"/>
          <w:b w:val="false"/>
          <w:i w:val="false"/>
          <w:color w:val="000000"/>
          <w:sz w:val="22"/>
        </w:rPr>
        <w:t>Adult education and literacy programs may use state adult education and literacy education funding for activities related to the development and implementation of the basic skills component of a career pathways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76.4(1)</w:t>
      </w:r>
      <w:r>
        <w:rPr>
          <w:rFonts w:ascii="Times New Roman" w:hAnsi="Times New Roman"/>
          <w:b w:val="false"/>
          <w:i w:val="false"/>
          <w:color w:val="000000"/>
          <w:sz w:val="22"/>
        </w:rPr>
        <w:t> </w:t>
      </w:r>
      <w:r>
        <w:rPr>
          <w:rFonts w:ascii="Times New Roman" w:hAnsi="Times New Roman"/>
          <w:b w:val="false"/>
          <w:i/>
          <w:color w:val="000000"/>
          <w:sz w:val="22"/>
        </w:rPr>
        <w:t xml:space="preserve">Collaboration. </w:t>
      </w:r>
      <w:r>
        <w:rPr>
          <w:rFonts w:ascii="Times New Roman" w:hAnsi="Times New Roman"/>
          <w:b w:val="false"/>
          <w:i w:val="false"/>
          <w:color w:val="000000"/>
          <w:sz w:val="22"/>
        </w:rPr>
        <w:t>Adult education and literacy programs are to coordinate with other available education, training, and social service resources in the community for the development of career pathways, such as by establishing strong links with elementary schools and secondary schools, postsecondary educational institutions, institutions of higher education, local workforce boards, one-stop centers, job training programs, social service agencies, business and industry, labor organizations, community-based organizations, nonprofit organizations, and intermediaries.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76.4(2)</w:t>
      </w:r>
      <w:r>
        <w:rPr>
          <w:rFonts w:ascii="Times New Roman" w:hAnsi="Times New Roman"/>
          <w:b w:val="false"/>
          <w:i w:val="false"/>
          <w:color w:val="000000"/>
          <w:sz w:val="22"/>
        </w:rPr>
        <w:t> </w:t>
      </w:r>
      <w:r>
        <w:rPr>
          <w:rFonts w:ascii="Times New Roman" w:hAnsi="Times New Roman"/>
          <w:b w:val="false"/>
          <w:i/>
          <w:color w:val="000000"/>
          <w:sz w:val="22"/>
        </w:rPr>
        <w:t xml:space="preserve">Use of state funds. </w:t>
      </w:r>
      <w:r>
        <w:rPr>
          <w:rFonts w:ascii="Times New Roman" w:hAnsi="Times New Roman"/>
          <w:b w:val="false"/>
          <w:i w:val="false"/>
          <w:color w:val="000000"/>
          <w:sz w:val="22"/>
        </w:rPr>
        <w:t>Only activities directly linked to adult education and literacy programs and instruction shall be funded with moneys received from state adult education and literacy funds. Consideration will be given to entities providing adult education and literacy activities concurrently with workforce preparation activities and workforce training for the purpose of educational and career advancement.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7750C</w:t>
      </w:r>
      <w:r>
        <w:rPr>
          <w:rFonts w:ascii="Times New Roman" w:hAnsi="Times New Roman"/>
          <w:b w:val="false"/>
          <w:i w:val="false"/>
          <w:color w:val="000000"/>
          <w:sz w:val="16"/>
        </w:rPr>
        <w:t>, IAB 4/3/24, effective 5/8/24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5/14/25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871—76.5</w:t>
      </w:r>
      <w:r>
        <w:rPr>
          <w:rFonts w:ascii="Times New Roman" w:hAnsi="Times New Roman"/>
          <w:b/>
          <w:i w:val="false"/>
          <w:color w:val="000000"/>
          <w:sz w:val="22"/>
        </w:rPr>
        <w:t xml:space="preserve">(84A) </w:t>
      </w:r>
      <w:r>
        <w:rPr>
          <w:rFonts w:ascii="Times New Roman" w:hAnsi="Times New Roman"/>
          <w:b/>
          <w:i w:val="false"/>
          <w:color w:val="000000"/>
          <w:sz w:val="22"/>
        </w:rPr>
        <w:t xml:space="preserve">Student eligibility. </w:t>
      </w:r>
      <w:r>
        <w:rPr>
          <w:rFonts w:ascii="Times New Roman" w:hAnsi="Times New Roman"/>
          <w:b w:val="false"/>
          <w:i w:val="false"/>
          <w:color w:val="000000"/>
          <w:sz w:val="22"/>
        </w:rPr>
        <w:t>A person seeking to enroll in an adult education and literacy program is eligible if the person meets the criteria in 29 U.S.C. Section 3272(4).</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7750C</w:t>
      </w:r>
      <w:r>
        <w:rPr>
          <w:rFonts w:ascii="Times New Roman" w:hAnsi="Times New Roman"/>
          <w:b w:val="false"/>
          <w:i w:val="false"/>
          <w:color w:val="000000"/>
          <w:sz w:val="16"/>
        </w:rPr>
        <w:t>, IAB 4/3/24, effective 5/8/24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5/14/25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871—76.6</w:t>
      </w:r>
      <w:r>
        <w:rPr>
          <w:rFonts w:ascii="Times New Roman" w:hAnsi="Times New Roman"/>
          <w:b/>
          <w:i w:val="false"/>
          <w:color w:val="000000"/>
          <w:sz w:val="22"/>
        </w:rPr>
        <w:t xml:space="preserve">(84A) </w:t>
      </w:r>
      <w:r>
        <w:rPr>
          <w:rFonts w:ascii="Times New Roman" w:hAnsi="Times New Roman"/>
          <w:b/>
          <w:i w:val="false"/>
          <w:color w:val="000000"/>
          <w:sz w:val="22"/>
        </w:rPr>
        <w:t xml:space="preserve">Qualification of staff. </w:t>
      </w:r>
      <w:r>
        <w:rPr>
          <w:rFonts w:ascii="Times New Roman" w:hAnsi="Times New Roman"/>
          <w:b w:val="false"/>
          <w:i w:val="false"/>
          <w:color w:val="000000"/>
          <w:sz w:val="22"/>
        </w:rPr>
        <w:t>This rule applies to all staff hired after July 1, 2015. All staff hired prior to July 1, 2015, are exempt from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76.6(1)</w:t>
      </w:r>
      <w:r>
        <w:rPr>
          <w:rFonts w:ascii="Times New Roman" w:hAnsi="Times New Roman"/>
          <w:b w:val="false"/>
          <w:i w:val="false"/>
          <w:color w:val="000000"/>
          <w:sz w:val="22"/>
        </w:rPr>
        <w:t> </w:t>
      </w:r>
      <w:r>
        <w:rPr>
          <w:rFonts w:ascii="Times New Roman" w:hAnsi="Times New Roman"/>
          <w:b w:val="false"/>
          <w:i/>
          <w:color w:val="000000"/>
          <w:sz w:val="22"/>
        </w:rPr>
        <w:t xml:space="preserve">Professional staff. </w:t>
      </w:r>
      <w:r>
        <w:rPr>
          <w:rFonts w:ascii="Times New Roman" w:hAnsi="Times New Roman"/>
          <w:b w:val="false"/>
          <w:i w:val="false"/>
          <w:color w:val="000000"/>
          <w:sz w:val="22"/>
        </w:rPr>
        <w:t>Professional staff providing instruction in an adult education and literacy program to students possess at minimum a bachelor’s degree.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76.6(2)</w:t>
      </w:r>
      <w:r>
        <w:rPr>
          <w:rFonts w:ascii="Times New Roman" w:hAnsi="Times New Roman"/>
          <w:b w:val="false"/>
          <w:i w:val="false"/>
          <w:color w:val="000000"/>
          <w:sz w:val="22"/>
        </w:rPr>
        <w:t> </w:t>
      </w:r>
      <w:r>
        <w:rPr>
          <w:rFonts w:ascii="Times New Roman" w:hAnsi="Times New Roman"/>
          <w:b w:val="false"/>
          <w:i/>
          <w:color w:val="000000"/>
          <w:sz w:val="22"/>
        </w:rPr>
        <w:t xml:space="preserve">Volunteer staff. </w:t>
      </w:r>
      <w:r>
        <w:rPr>
          <w:rFonts w:ascii="Times New Roman" w:hAnsi="Times New Roman"/>
          <w:b w:val="false"/>
          <w:i w:val="false"/>
          <w:color w:val="000000"/>
          <w:sz w:val="22"/>
        </w:rPr>
        <w:t>Volunteer staff possess at minimum a high school diploma or high school equivalency diploma.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7750C</w:t>
      </w:r>
      <w:r>
        <w:rPr>
          <w:rFonts w:ascii="Times New Roman" w:hAnsi="Times New Roman"/>
          <w:b w:val="false"/>
          <w:i w:val="false"/>
          <w:color w:val="000000"/>
          <w:sz w:val="16"/>
        </w:rPr>
        <w:t>, IAB 4/3/24, effective 5/8/24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5/14/25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871—76.7</w:t>
      </w:r>
      <w:r>
        <w:rPr>
          <w:rFonts w:ascii="Times New Roman" w:hAnsi="Times New Roman"/>
          <w:b/>
          <w:i w:val="false"/>
          <w:color w:val="000000"/>
          <w:sz w:val="22"/>
        </w:rPr>
        <w:t xml:space="preserve">(84A) </w:t>
      </w:r>
      <w:r>
        <w:rPr>
          <w:rFonts w:ascii="Times New Roman" w:hAnsi="Times New Roman"/>
          <w:b/>
          <w:i w:val="false"/>
          <w:color w:val="000000"/>
          <w:sz w:val="22"/>
        </w:rPr>
        <w:t xml:space="preserve">High-quality professional development.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76.7(1)</w:t>
      </w:r>
      <w:r>
        <w:rPr>
          <w:rFonts w:ascii="Times New Roman" w:hAnsi="Times New Roman"/>
          <w:b w:val="false"/>
          <w:i w:val="false"/>
          <w:color w:val="000000"/>
          <w:sz w:val="22"/>
        </w:rPr>
        <w:t> </w:t>
      </w:r>
      <w:r>
        <w:rPr>
          <w:rFonts w:ascii="Times New Roman" w:hAnsi="Times New Roman"/>
          <w:b w:val="false"/>
          <w:i/>
          <w:color w:val="000000"/>
          <w:sz w:val="22"/>
        </w:rPr>
        <w:t xml:space="preserve">Responsibility of program. </w:t>
      </w:r>
      <w:r>
        <w:rPr>
          <w:rFonts w:ascii="Times New Roman" w:hAnsi="Times New Roman"/>
          <w:b w:val="false"/>
          <w:i w:val="false"/>
          <w:color w:val="000000"/>
          <w:sz w:val="22"/>
        </w:rPr>
        <w:t>Adult education and literacy programs are responsible for providing professional development opportunities for professional and volunteer staff pursuant to this rule,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Proper procedures for the administration and reporting of data;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development and dissemination of instructional and programmatic practices based on the most rigorous and scientifically valid research available;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Appropriate reading, writing, speaking, mathematics, English language acquisition, distance education, and staff training practices aligned with content standards for adult education.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76.7(2)</w:t>
      </w:r>
      <w:r>
        <w:rPr>
          <w:rFonts w:ascii="Times New Roman" w:hAnsi="Times New Roman"/>
          <w:b w:val="false"/>
          <w:i w:val="false"/>
          <w:color w:val="000000"/>
          <w:sz w:val="22"/>
        </w:rPr>
        <w:t> </w:t>
      </w:r>
      <w:r>
        <w:rPr>
          <w:rFonts w:ascii="Times New Roman" w:hAnsi="Times New Roman"/>
          <w:b w:val="false"/>
          <w:i/>
          <w:color w:val="000000"/>
          <w:sz w:val="22"/>
        </w:rPr>
        <w:t xml:space="preserve">Professional development. </w:t>
      </w:r>
      <w:r>
        <w:rPr>
          <w:rFonts w:ascii="Times New Roman" w:hAnsi="Times New Roman"/>
          <w:b w:val="false"/>
          <w:i w:val="false"/>
          <w:color w:val="000000"/>
          <w:sz w:val="22"/>
        </w:rPr>
        <w:t>Professional development is to include formal and informal means of assisting professional and volunteer staff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Acquire knowledge, skills, approaches, and dispositions;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Explore new or advanced understandings of content, theory, and resources;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Develop new insights into theory and its application to improve the effectiveness of current practice and lead to professional growth.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76.7(3)</w:t>
      </w:r>
      <w:r>
        <w:rPr>
          <w:rFonts w:ascii="Times New Roman" w:hAnsi="Times New Roman"/>
          <w:b w:val="false"/>
          <w:i w:val="false"/>
          <w:color w:val="000000"/>
          <w:sz w:val="22"/>
        </w:rPr>
        <w:t> </w:t>
      </w:r>
      <w:r>
        <w:rPr>
          <w:rFonts w:ascii="Times New Roman" w:hAnsi="Times New Roman"/>
          <w:b w:val="false"/>
          <w:i/>
          <w:color w:val="000000"/>
          <w:sz w:val="22"/>
        </w:rPr>
        <w:t xml:space="preserve">Professional development standards. </w:t>
      </w:r>
      <w:r>
        <w:rPr>
          <w:rFonts w:ascii="Times New Roman" w:hAnsi="Times New Roman"/>
          <w:b w:val="false"/>
          <w:i w:val="false"/>
          <w:color w:val="000000"/>
          <w:sz w:val="22"/>
        </w:rPr>
        <w:t>The department and entities providing adult education and literacy programs are to promote effective professional development and foster continuous instructional improvement. Professional development is to incorporate the following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Strengthens professional and volunteer staff knowledge and application of content areas, instructional strategies, and assessment strategies based on research;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Prepares and supports professional and volunteer staff in creating supportive environments that help adult learners reach realistic goals;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Uses data to drive professional development priorities, analyze effectiveness, and help sustain continuous improvement for adult education and literacy programs and learners;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Uses a variety of strategies to guide adult education and literacy program improvement and initiatives;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Enhances abilities of professional and volunteer staff to evaluate and apply current research, theory, evidence-based practices, and professional wisdom;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Models or incorporates theories of adult learning and development;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Fosters adult education and literacy program, community, and state-level collaboration.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76.7(4)</w:t>
      </w:r>
      <w:r>
        <w:rPr>
          <w:rFonts w:ascii="Times New Roman" w:hAnsi="Times New Roman"/>
          <w:b w:val="false"/>
          <w:i w:val="false"/>
          <w:color w:val="000000"/>
          <w:sz w:val="22"/>
        </w:rPr>
        <w:t> </w:t>
      </w:r>
      <w:r>
        <w:rPr>
          <w:rFonts w:ascii="Times New Roman" w:hAnsi="Times New Roman"/>
          <w:b w:val="false"/>
          <w:i/>
          <w:color w:val="000000"/>
          <w:sz w:val="22"/>
        </w:rPr>
        <w:t xml:space="preserve">Provision of professional development. </w:t>
      </w:r>
      <w:r>
        <w:rPr>
          <w:rFonts w:ascii="Times New Roman" w:hAnsi="Times New Roman"/>
          <w:b w:val="false"/>
          <w:i w:val="false"/>
          <w:color w:val="000000"/>
          <w:sz w:val="22"/>
        </w:rPr>
        <w:t>Adult education and literacy program staff are to participate in professional development activities that are related to their job duties and improve the quality of the adult education and literacy program with which the staff is associated. All professional development activities will be in accordance with the published Iowa Adult Education Professional Development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professional staff are to receive at least 12 clock hours of professional development annually. Professional staff who possess a valid Iowa teacher certificate are exempt from this paragraph.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All professional staff new to adult education are to receive six clock hours of preservice professional development prior to, but no later than, one month after starting employment with an adult education program. Preservice professional development may apply toward the professional development described in paragraph </w:t>
      </w:r>
      <w:hyperlink r:id="rId8">
        <w:r>
          <w:rPr>
            <w:rStyle w:val="Hyperlink"/>
            <w:rFonts w:ascii="Times New Roman" w:hAnsi="Times New Roman"/>
            <w:b w:val="false"/>
            <w:i w:val="false"/>
            <w:color w:val="000000"/>
            <w:sz w:val="22"/>
          </w:rPr>
          <w:t>76.7(4)</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Volunteer staff are to receive 50 percent of the professional development in paragraphs </w:t>
      </w:r>
      <w:hyperlink r:id="rId9">
        <w:r>
          <w:rPr>
            <w:rStyle w:val="Hyperlink"/>
            <w:rFonts w:ascii="Times New Roman" w:hAnsi="Times New Roman"/>
            <w:b w:val="false"/>
            <w:i w:val="false"/>
            <w:color w:val="000000"/>
            <w:sz w:val="22"/>
          </w:rPr>
          <w:t>76.7(4)</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76.7(5)</w:t>
      </w:r>
      <w:r>
        <w:rPr>
          <w:rFonts w:ascii="Times New Roman" w:hAnsi="Times New Roman"/>
          <w:b w:val="false"/>
          <w:i w:val="false"/>
          <w:color w:val="000000"/>
          <w:sz w:val="22"/>
        </w:rPr>
        <w:t> </w:t>
      </w:r>
      <w:r>
        <w:rPr>
          <w:rFonts w:ascii="Times New Roman" w:hAnsi="Times New Roman"/>
          <w:b w:val="false"/>
          <w:i/>
          <w:color w:val="000000"/>
          <w:sz w:val="22"/>
        </w:rPr>
        <w:t xml:space="preserve">Individual professional development plan. </w:t>
      </w:r>
      <w:r>
        <w:rPr>
          <w:rFonts w:ascii="Times New Roman" w:hAnsi="Times New Roman"/>
          <w:b w:val="false"/>
          <w:i w:val="false"/>
          <w:color w:val="000000"/>
          <w:sz w:val="22"/>
        </w:rPr>
        <w:t>Adult education and literacy programs are to develop and maintain a plan for hiring and developing quality professional staff that includes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implementation schedule for the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Orientation for new professional staff.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Continuing professional development for professional staff.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Procedures for accurate record keeping and documentation for plan monitoring.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Specific activities to ensure that professional staff attain and demonstrate instructional competencies and knowledge in related adult education and literacy fields.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Procedures for collection and maintenance of records demonstrating that each staff member has attained or documented progress toward attaining minimal competencies.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Provision that all professional staff will be included in the plan. The plan may be differentiated for each type of employee.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76.7(6)</w:t>
      </w:r>
      <w:r>
        <w:rPr>
          <w:rFonts w:ascii="Times New Roman" w:hAnsi="Times New Roman"/>
          <w:b w:val="false"/>
          <w:i w:val="false"/>
          <w:color w:val="000000"/>
          <w:sz w:val="22"/>
        </w:rPr>
        <w:t> </w:t>
      </w:r>
      <w:r>
        <w:rPr>
          <w:rFonts w:ascii="Times New Roman" w:hAnsi="Times New Roman"/>
          <w:b w:val="false"/>
          <w:i/>
          <w:color w:val="000000"/>
          <w:sz w:val="22"/>
        </w:rPr>
        <w:t xml:space="preserve">Waiver. </w:t>
      </w:r>
      <w:r>
        <w:rPr>
          <w:rFonts w:ascii="Times New Roman" w:hAnsi="Times New Roman"/>
          <w:b w:val="false"/>
          <w:i w:val="false"/>
          <w:color w:val="000000"/>
          <w:sz w:val="22"/>
        </w:rPr>
        <w:t>The time for professional development may be reduced by local adult education and literacy programs in individual cases where exceptional circumstances prevent staff from completing the specified hours of professional development. Documentation is to be kept that justifies the granting of a waiver. Requests for exemption from staff qualification requirements in individual cases will be kept on record and available to the department for review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76.7(7)</w:t>
      </w:r>
      <w:r>
        <w:rPr>
          <w:rFonts w:ascii="Times New Roman" w:hAnsi="Times New Roman"/>
          <w:b w:val="false"/>
          <w:i w:val="false"/>
          <w:color w:val="000000"/>
          <w:sz w:val="22"/>
        </w:rPr>
        <w:t> </w:t>
      </w:r>
      <w:r>
        <w:rPr>
          <w:rFonts w:ascii="Times New Roman" w:hAnsi="Times New Roman"/>
          <w:b w:val="false"/>
          <w:i/>
          <w:color w:val="000000"/>
          <w:sz w:val="22"/>
        </w:rPr>
        <w:t xml:space="preserve">Monitoring. </w:t>
      </w:r>
      <w:r>
        <w:rPr>
          <w:rFonts w:ascii="Times New Roman" w:hAnsi="Times New Roman"/>
          <w:b w:val="false"/>
          <w:i w:val="false"/>
          <w:color w:val="000000"/>
          <w:sz w:val="22"/>
        </w:rPr>
        <w:t>Each program will maintain records of staff qualifications and professional development for five years, which will be available to department staff for monitoring upon request.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7750C</w:t>
      </w:r>
      <w:r>
        <w:rPr>
          <w:rFonts w:ascii="Times New Roman" w:hAnsi="Times New Roman"/>
          <w:b w:val="false"/>
          <w:i w:val="false"/>
          <w:color w:val="000000"/>
          <w:sz w:val="16"/>
        </w:rPr>
        <w:t>, IAB 4/3/24, effective 5/8/24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5/14/25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871—76.8</w:t>
      </w:r>
      <w:r>
        <w:rPr>
          <w:rFonts w:ascii="Times New Roman" w:hAnsi="Times New Roman"/>
          <w:b/>
          <w:i w:val="false"/>
          <w:color w:val="000000"/>
          <w:sz w:val="22"/>
        </w:rPr>
        <w:t xml:space="preserve">(84A) </w:t>
      </w:r>
      <w:r>
        <w:rPr>
          <w:rFonts w:ascii="Times New Roman" w:hAnsi="Times New Roman"/>
          <w:b/>
          <w:i w:val="false"/>
          <w:color w:val="000000"/>
          <w:sz w:val="22"/>
        </w:rPr>
        <w:t xml:space="preserve">Performance and accountability.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76.8(1)</w:t>
      </w:r>
      <w:r>
        <w:rPr>
          <w:rFonts w:ascii="Times New Roman" w:hAnsi="Times New Roman"/>
          <w:b w:val="false"/>
          <w:i w:val="false"/>
          <w:color w:val="000000"/>
          <w:sz w:val="22"/>
        </w:rPr>
        <w:t> </w:t>
      </w:r>
      <w:r>
        <w:rPr>
          <w:rFonts w:ascii="Times New Roman" w:hAnsi="Times New Roman"/>
          <w:b w:val="false"/>
          <w:i/>
          <w:color w:val="000000"/>
          <w:sz w:val="22"/>
        </w:rPr>
        <w:t xml:space="preserve">Accountability system. </w:t>
      </w:r>
      <w:r>
        <w:rPr>
          <w:rFonts w:ascii="Times New Roman" w:hAnsi="Times New Roman"/>
          <w:b w:val="false"/>
          <w:i w:val="false"/>
          <w:color w:val="000000"/>
          <w:sz w:val="22"/>
        </w:rPr>
        <w:t>Adult education and literacy programs shall adhere to the standards established by the Act in the use and administration of the accountability system, as well as this rule. The accountability system will be a statewide system to include enrollment reports, progress indicators and core measures.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76.8(2)</w:t>
      </w:r>
      <w:r>
        <w:rPr>
          <w:rFonts w:ascii="Times New Roman" w:hAnsi="Times New Roman"/>
          <w:b w:val="false"/>
          <w:i w:val="false"/>
          <w:color w:val="000000"/>
          <w:sz w:val="22"/>
        </w:rPr>
        <w:t> </w:t>
      </w:r>
      <w:r>
        <w:rPr>
          <w:rFonts w:ascii="Times New Roman" w:hAnsi="Times New Roman"/>
          <w:b w:val="false"/>
          <w:i/>
          <w:color w:val="000000"/>
          <w:sz w:val="22"/>
        </w:rPr>
        <w:t xml:space="preserve">Performance indicators.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Compliance. </w:t>
      </w:r>
      <w:r>
        <w:rPr>
          <w:rFonts w:ascii="Times New Roman" w:hAnsi="Times New Roman"/>
          <w:b w:val="false"/>
          <w:i w:val="false"/>
          <w:color w:val="000000"/>
          <w:sz w:val="22"/>
        </w:rPr>
        <w:t>Adult education and literacy programs will adhere to the policies and procedures outlined in the state assessment policy. Data will be submitted by the tenth day of each month or, should that day fall outside of standard business hours, the first Monday following the tenth day of the month. All adult education and literacy programs will comply with data quality reviews and complete quality data checks to ensure federal compliance with reporting.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Determination of progress. </w:t>
      </w:r>
      <w:r>
        <w:rPr>
          <w:rFonts w:ascii="Times New Roman" w:hAnsi="Times New Roman"/>
          <w:b w:val="false"/>
          <w:i w:val="false"/>
          <w:color w:val="000000"/>
          <w:sz w:val="22"/>
        </w:rPr>
        <w:t>Upon administration of a standardized assessment, within the first 12 hours of attendance, adult education and literacy programs will place eligible students at an appropriate level of instruction. Progress assessments will be administered after the recommended hours of instruction as published in the state assessment policy.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Core measures. </w:t>
      </w:r>
      <w:r>
        <w:rPr>
          <w:rFonts w:ascii="Times New Roman" w:hAnsi="Times New Roman"/>
          <w:b w:val="false"/>
          <w:i w:val="false"/>
          <w:color w:val="000000"/>
          <w:sz w:val="22"/>
        </w:rPr>
        <w:t>Federal and state adult education and literacy legislation has established data for reporting core measures, including percentage of participants in unsubsidized employment during the second and fourth quarter after exit from the program; median earnings; percentage of participants who obtain a postsecondary credential or diploma during participation or within one year after exit from the program; participants achieving measurable skill gains; and effectiveness in serving employers.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7750C</w:t>
      </w:r>
      <w:r>
        <w:rPr>
          <w:rFonts w:ascii="Times New Roman" w:hAnsi="Times New Roman"/>
          <w:b w:val="false"/>
          <w:i w:val="false"/>
          <w:color w:val="000000"/>
          <w:sz w:val="16"/>
        </w:rPr>
        <w:t>, IAB 4/3/24, effective 5/8/24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5/14/25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 </w:t>
      </w:r>
      <w:hyperlink r:id="rId10">
        <w:r>
          <w:rPr>
            <w:rStyle w:val="Hyperlink"/>
            <w:rFonts w:ascii="Times New Roman" w:hAnsi="Times New Roman"/>
            <w:b w:val="false"/>
            <w:i w:val="false"/>
            <w:color w:val="000000"/>
            <w:sz w:val="22"/>
          </w:rPr>
          <w:t>84A.19</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3/27/81, Notice 2/4/81—published 4/15/81, effective 5/20/81]</w:t>
      </w:r>
    </w:p>
    <w:p>
      <w:pPr>
        <w:spacing w:before="0" w:after="0"/>
        <w:ind w:left="120"/>
        <w:jc w:val="center"/>
      </w:pPr>
      <w:r>
        <w:rPr>
          <w:rFonts w:ascii="Times New Roman" w:hAnsi="Times New Roman"/>
          <w:b w:val="false"/>
          <w:i w:val="false"/>
          <w:color w:val="000000"/>
          <w:sz w:val="21"/>
        </w:rPr>
        <w:t>[Filed 8/19/88, Notice 6/29/88—published 9/7/88, effective 10/12/88]</w:t>
      </w:r>
    </w:p>
    <w:p>
      <w:pPr>
        <w:spacing w:before="0" w:after="0"/>
        <w:ind w:left="120"/>
        <w:jc w:val="center"/>
      </w:pPr>
      <w:r>
        <w:rPr>
          <w:rFonts w:ascii="Times New Roman" w:hAnsi="Times New Roman"/>
          <w:b w:val="false"/>
          <w:i w:val="false"/>
          <w:color w:val="000000"/>
          <w:sz w:val="21"/>
        </w:rPr>
        <w:t>[Filed 1/14/94, Notice 10/27/93—published 2/2/94, effective 3/9/94]</w:t>
      </w:r>
    </w:p>
    <w:p>
      <w:pPr>
        <w:spacing w:before="0" w:after="0"/>
        <w:ind w:left="120"/>
        <w:jc w:val="center"/>
      </w:pPr>
      <w:r>
        <w:rPr>
          <w:rFonts w:ascii="Times New Roman" w:hAnsi="Times New Roman"/>
          <w:b w:val="false"/>
          <w:i w:val="false"/>
          <w:color w:val="000000"/>
          <w:sz w:val="21"/>
        </w:rPr>
        <w:t>[Filed ARC 8645B</w:t>
      </w:r>
      <w:r>
        <w:rPr>
          <w:rFonts w:ascii="Times New Roman" w:hAnsi="Times New Roman"/>
          <w:b w:val="false"/>
          <w:i w:val="false"/>
          <w:color w:val="000000"/>
          <w:sz w:val="21"/>
        </w:rPr>
        <w:t xml:space="preserve"> (Notice ARC 8389B, IAB 12/16/09)</w:t>
      </w:r>
      <w:r>
        <w:rPr>
          <w:rFonts w:ascii="Times New Roman" w:hAnsi="Times New Roman"/>
          <w:b w:val="false"/>
          <w:i w:val="false"/>
          <w:color w:val="000000"/>
          <w:sz w:val="21"/>
        </w:rPr>
        <w:t>, IAB 4/7/10, effective 5/12/10]</w:t>
      </w:r>
    </w:p>
    <w:p>
      <w:pPr>
        <w:spacing w:before="0" w:after="0"/>
        <w:ind w:left="120"/>
        <w:jc w:val="center"/>
      </w:pPr>
      <w:r>
        <w:rPr>
          <w:rFonts w:ascii="Times New Roman" w:hAnsi="Times New Roman"/>
          <w:b w:val="false"/>
          <w:i w:val="false"/>
          <w:color w:val="000000"/>
          <w:sz w:val="21"/>
        </w:rPr>
        <w:t>[Filed ARC 1775C</w:t>
      </w:r>
      <w:r>
        <w:rPr>
          <w:rFonts w:ascii="Times New Roman" w:hAnsi="Times New Roman"/>
          <w:b w:val="false"/>
          <w:i w:val="false"/>
          <w:color w:val="000000"/>
          <w:sz w:val="21"/>
        </w:rPr>
        <w:t xml:space="preserve"> (Notice ARC 1672C, IAB 10/15/14)</w:t>
      </w:r>
      <w:r>
        <w:rPr>
          <w:rFonts w:ascii="Times New Roman" w:hAnsi="Times New Roman"/>
          <w:b w:val="false"/>
          <w:i w:val="false"/>
          <w:color w:val="000000"/>
          <w:sz w:val="21"/>
        </w:rPr>
        <w:t>, IAB 12/10/14, effective 1/14/15]</w:t>
      </w:r>
    </w:p>
    <w:p>
      <w:pPr>
        <w:spacing w:before="0" w:after="0"/>
        <w:ind w:left="120"/>
        <w:jc w:val="center"/>
      </w:pPr>
      <w:r>
        <w:rPr>
          <w:rFonts w:ascii="Times New Roman" w:hAnsi="Times New Roman"/>
          <w:b w:val="false"/>
          <w:i w:val="false"/>
          <w:color w:val="000000"/>
          <w:sz w:val="21"/>
        </w:rPr>
        <w:t>[Filed ARC 6724C</w:t>
      </w:r>
      <w:r>
        <w:rPr>
          <w:rFonts w:ascii="Times New Roman" w:hAnsi="Times New Roman"/>
          <w:b w:val="false"/>
          <w:i w:val="false"/>
          <w:color w:val="000000"/>
          <w:sz w:val="21"/>
        </w:rPr>
        <w:t xml:space="preserve"> (Notice ARC 6584C, IAB 10/5/22)</w:t>
      </w:r>
      <w:r>
        <w:rPr>
          <w:rFonts w:ascii="Times New Roman" w:hAnsi="Times New Roman"/>
          <w:b w:val="false"/>
          <w:i w:val="false"/>
          <w:color w:val="000000"/>
          <w:sz w:val="21"/>
        </w:rPr>
        <w:t>, IAB 12/14/22, effective 1/18/23]</w:t>
      </w:r>
    </w:p>
    <w:p>
      <w:pPr>
        <w:spacing w:before="0" w:after="0"/>
        <w:ind w:left="120"/>
        <w:jc w:val="center"/>
      </w:pPr>
      <w:r>
        <w:rPr>
          <w:rFonts w:ascii="Times New Roman" w:hAnsi="Times New Roman"/>
          <w:b w:val="false"/>
          <w:i w:val="false"/>
          <w:color w:val="000000"/>
          <w:sz w:val="21"/>
        </w:rPr>
        <w:t>[Editorial change: IAC Supplement 8/23/23]</w:t>
      </w:r>
    </w:p>
    <w:p>
      <w:pPr>
        <w:spacing w:before="0" w:after="0"/>
        <w:ind w:left="120"/>
        <w:jc w:val="center"/>
      </w:pPr>
      <w:r>
        <w:rPr>
          <w:rFonts w:ascii="Times New Roman" w:hAnsi="Times New Roman"/>
          <w:b w:val="false"/>
          <w:i w:val="false"/>
          <w:color w:val="000000"/>
          <w:sz w:val="21"/>
        </w:rPr>
        <w:t>[Filed ARC 7750C</w:t>
      </w:r>
      <w:r>
        <w:rPr>
          <w:rFonts w:ascii="Times New Roman" w:hAnsi="Times New Roman"/>
          <w:b w:val="false"/>
          <w:i w:val="false"/>
          <w:color w:val="000000"/>
          <w:sz w:val="21"/>
        </w:rPr>
        <w:t xml:space="preserve"> (Notice ARC 7574C, IAB 2/7/24)</w:t>
      </w:r>
      <w:r>
        <w:rPr>
          <w:rFonts w:ascii="Times New Roman" w:hAnsi="Times New Roman"/>
          <w:b w:val="false"/>
          <w:i w:val="false"/>
          <w:color w:val="000000"/>
          <w:sz w:val="21"/>
        </w:rPr>
        <w:t>, IAB 4/3/24, effective 5/8/24]</w:t>
      </w:r>
    </w:p>
    <w:p>
      <w:pPr>
        <w:spacing w:before="0" w:after="0"/>
        <w:ind w:left="120"/>
        <w:jc w:val="center"/>
      </w:pPr>
      <w:r>
        <w:rPr>
          <w:rFonts w:ascii="Times New Roman" w:hAnsi="Times New Roman"/>
          <w:b w:val="false"/>
          <w:i w:val="false"/>
          <w:color w:val="000000"/>
          <w:sz w:val="21"/>
        </w:rPr>
        <w:t>[Editorial change: IAC Supplement 5/14/25]</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84A.19.pdf" Type="http://schemas.openxmlformats.org/officeDocument/2006/relationships/hyperlink" Id="rId5"/>
    <Relationship TargetMode="External" Target="https://www.legis.iowa.gov/docs/iac/rule/871.76.6.pdf" Type="http://schemas.openxmlformats.org/officeDocument/2006/relationships/hyperlink" Id="rId6"/>
    <Relationship TargetMode="External" Target="https://www.legis.iowa.gov/docs/iac/rule/871.73.2.pdf" Type="http://schemas.openxmlformats.org/officeDocument/2006/relationships/hyperlink" Id="rId7"/>
    <Relationship TargetMode="External" Target="https://www.legis.iowa.gov/docs/iac/rule/871.76.7.pdf" Type="http://schemas.openxmlformats.org/officeDocument/2006/relationships/hyperlink" Id="rId8"/>
    <Relationship TargetMode="External" Target="https://www.legis.iowa.gov/docs/iac/rule/871.76.7.pdf" Type="http://schemas.openxmlformats.org/officeDocument/2006/relationships/hyperlink" Id="rId9"/>
    <Relationship TargetMode="External" Target="https://www.legis.iowa.gov/docs/ico/chapter/84A.19.pdf" Type="http://schemas.openxmlformats.org/officeDocument/2006/relationships/hyperlink" Id="rId1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