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STEM INTERNSHIP PROGRAM</w:t>
      </w:r>
    </w:p>
    <w:p>
      <w:pPr>
        <w:spacing w:before="0" w:after="0"/>
        <w:ind w:left="120"/>
        <w:jc w:val="center"/>
      </w:pPr>
      <w:r>
        <w:rPr>
          <w:rFonts w:ascii="Times New Roman" w:hAnsi="Times New Roman"/>
          <w:b w:val="false"/>
          <w:i w:val="false"/>
          <w:color w:val="000000"/>
          <w:sz w:val="14"/>
        </w:rPr>
        <w:t>[Prior to 11/1/23, see Economic Development Authority[261] Ch 110]</w:t>
      </w:r>
    </w:p>
    <w:p>
      <w:pPr>
        <w:spacing w:before="0" w:after="0"/>
        <w:ind w:left="120"/>
        <w:jc w:val="center"/>
      </w:pPr>
      <w:r>
        <w:rPr>
          <w:rFonts w:ascii="Times New Roman" w:hAnsi="Times New Roman"/>
          <w:b w:val="false"/>
          <w:i w:val="false"/>
          <w:color w:val="000000"/>
          <w:sz w:val="14"/>
        </w:rPr>
        <w:t>[Prior to 5/14/25, see Workforce Development Board, State[877] 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871—75.1</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 STEM internship program is provided in Iowa Code section </w:t>
      </w:r>
      <w:hyperlink r:id="rId5">
        <w:r>
          <w:rPr>
            <w:rStyle w:val="Hyperlink"/>
            <w:rFonts w:ascii="Times New Roman" w:hAnsi="Times New Roman"/>
            <w:b w:val="false"/>
            <w:i w:val="false"/>
            <w:color w:val="000000"/>
            <w:sz w:val="22"/>
          </w:rPr>
          <w:t>84A.21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871—75.2</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STEM internship program is to assist in placing Iowa students studying in the fields of science, technology, engineering, and mathematics into internships that lead to permanent positions with Iowa employers.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871—75.3</w:t>
      </w:r>
      <w:r>
        <w:rPr>
          <w:rFonts w:ascii="Times New Roman" w:hAnsi="Times New Roman"/>
          <w:b/>
          <w:i w:val="false"/>
          <w:color w:val="000000"/>
          <w:sz w:val="22"/>
        </w:rPr>
        <w:t xml:space="preserve">(84A)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department appointed by the governor and in whom the powers of the department are vested pursuant to Iowa Code section </w:t>
      </w:r>
      <w:hyperlink r:id="rId6">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Iowa workforce development created in Iowa Code section </w:t>
      </w:r>
      <w:hyperlink r:id="rId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internship period” </w:t>
      </w:r>
      <w:r>
        <w:rPr>
          <w:rFonts w:ascii="Times New Roman" w:hAnsi="Times New Roman"/>
          <w:b w:val="false"/>
          <w:i w:val="false"/>
          <w:color w:val="000000"/>
          <w:sz w:val="22"/>
        </w:rPr>
        <w:t>means the summer or semester during which a student is employed in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enterprise located in this state that is operated for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84A.21(1)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STEM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“STEM field” </w:t>
      </w:r>
      <w:r>
        <w:rPr>
          <w:rFonts w:ascii="Times New Roman" w:hAnsi="Times New Roman"/>
          <w:b w:val="false"/>
          <w:i w:val="false"/>
          <w:color w:val="000000"/>
          <w:sz w:val="22"/>
        </w:rPr>
        <w:t xml:space="preserve">means a major course of study within the field of science, technology, engineering, or mathematics or a related field. For purposes of this chapter, “STEM field” includes all majors and academic or degree programs listed on the ACT-defined STEM majors and occupations by area list. The ACT-defined STEM majors and occupations by area list may be found at </w:t>
      </w:r>
      <w:hyperlink r:id="rId10">
        <w:r>
          <w:rPr>
            <w:rStyle w:val="Hyperlink"/>
            <w:rFonts w:ascii="Times New Roman" w:hAnsi="Times New Roman"/>
            <w:b w:val="false"/>
            <w:i w:val="false"/>
            <w:color w:val="000000"/>
            <w:sz w:val="22"/>
            <w:u w:val="single"/>
          </w:rPr>
          <w:t>www.act.org</w:t>
        </w:r>
      </w:hyperlink>
      <w:r>
        <w:rPr>
          <w:rFonts w:ascii="Times New Roman" w:hAnsi="Times New Roman"/>
          <w:b w:val="false"/>
          <w:i w:val="false"/>
          <w:color w:val="000000"/>
          <w:sz w:val="22"/>
        </w:rPr>
        <w:t>. If a student has declared a major or is enrolled in an academic or degree program not listed on the ACT-defined STEM majors and occupations by area list, the student may still be found eligible for participation in the program if, in the department’s sole discretion, the student’s major is substantially similar to a major that is listed on the ACT-defined STEM majors and occupations by area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now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871—75.4</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Program funding and disbursement.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The maximum amount that may be awarded to an employer for any one internship is $5,000. The maximum amount that may be awarded to any one employer in any one fiscal year is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Funds are to be used for reimbursement of wages paid during the designated internship period. An employer will pay students hired as interns an hourly wage that is at least twice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to an employer only after approval of a completed application and execution of a contract between the employer and the department. The department will have sole discretion in determining whether an application is fully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val="false"/>
          <w:color w:val="000000"/>
          <w:sz w:val="22"/>
        </w:rPr>
        <w:t>An Iowa employer may qualify for financial assistance under the program on a matching basis for a portion of the wages paid to an intern during the designated internship period. If providing financial assistance, the department will provide the assistance on a reimbursement basis such that for every two dollars of wages earned by the student, one dollar paid by the employer is matched by one dollar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871—75.5</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Eligible employers. </w:t>
      </w:r>
      <w:r>
        <w:rPr>
          <w:rFonts w:ascii="Times New Roman" w:hAnsi="Times New Roman"/>
          <w:b w:val="false"/>
          <w:i w:val="false"/>
          <w:color w:val="000000"/>
          <w:sz w:val="22"/>
        </w:rPr>
        <w:t>Eligible employers may apply to the department for assistance under the program. The program is available to employers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The employer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Iowa-based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that is not based in Iowa that has a significant portion of its employees located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The employer employs students who have either declared a major in a STEM field or who are enrolled in a STEM-related academic or degree program at a community college. The students are employed as interns at a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val="false"/>
          <w:color w:val="000000"/>
          <w:sz w:val="22"/>
        </w:rPr>
        <w:t>The employer offers the internship to students of Iowa community colleges, private colleges, or institutions of higher learning under the control of the state board of regents or to students who graduated from high school in Iowa but attend an institution of higher learning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val="false"/>
          <w:color w:val="000000"/>
          <w:sz w:val="22"/>
        </w:rPr>
        <w:t>The employer offers either summer- or semester-based internships. The summer internships have a minimum duration of 8 weeks (a minimum of 240 hours per internship), and the semester internships have a minimum duration of 14 weeks (a minimum of 140 hours per internship).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871—75.6</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Ineligible employers. </w:t>
      </w:r>
      <w:r>
        <w:rPr>
          <w:rFonts w:ascii="Times New Roman" w:hAnsi="Times New Roman"/>
          <w:b w:val="false"/>
          <w:i w:val="false"/>
          <w:color w:val="000000"/>
          <w:sz w:val="22"/>
        </w:rPr>
        <w:t>The following employers are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val="false"/>
          <w:color w:val="000000"/>
          <w:sz w:val="22"/>
        </w:rPr>
        <w:t>An employer that is a business engaged in retail sales, health care, or other businesses requiring a professional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val="false"/>
          <w:color w:val="000000"/>
          <w:sz w:val="22"/>
        </w:rPr>
        <w:t>An employer that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that has applied or will apply during the same state fiscal year to the innovative businesses internship program under </w:t>
      </w:r>
      <w:hyperlink r:id="rId11">
        <w:r>
          <w:rPr>
            <w:rStyle w:val="Hyperlink"/>
            <w:rFonts w:ascii="Times New Roman" w:hAnsi="Times New Roman"/>
            <w:b w:val="false"/>
            <w:i w:val="false"/>
            <w:color w:val="000000"/>
            <w:sz w:val="22"/>
          </w:rPr>
          <w:t>871—Chapter 69</w:t>
        </w:r>
      </w:hyperlink>
      <w:r>
        <w:rPr>
          <w:rFonts w:ascii="Times New Roman" w:hAnsi="Times New Roman"/>
          <w:b w:val="false"/>
          <w:i w:val="false"/>
          <w:color w:val="000000"/>
          <w:sz w:val="22"/>
        </w:rPr>
        <w:t xml:space="preserve"> is ineligible to receive funding under the STEM internship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871—75.7</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 xml:space="preserve">To be eligible, a person meets the requirements of a “student” as defined in rule </w:t>
      </w:r>
      <w:hyperlink r:id="rId12">
        <w:r>
          <w:rPr>
            <w:rStyle w:val="Hyperlink"/>
            <w:rFonts w:ascii="Times New Roman" w:hAnsi="Times New Roman"/>
            <w:b w:val="false"/>
            <w:i w:val="false"/>
            <w:color w:val="000000"/>
            <w:sz w:val="22"/>
          </w:rPr>
          <w:t>871—75.3</w:t>
        </w:r>
      </w:hyperlink>
      <w:r>
        <w:rPr>
          <w:rFonts w:ascii="Times New Roman" w:hAnsi="Times New Roman"/>
          <w:b w:val="false"/>
          <w:i w:val="false"/>
          <w:color w:val="000000"/>
          <w:sz w:val="22"/>
        </w:rPr>
        <w:t>(84A) and is a person who is within one to two years of graduation, has declared a major in a STEM field or is enrolled in a STEM-related academic or degree program at a community college, and is hired for an internship at an Iowa employer during a designated internship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871—75.8</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Students who are more than two years from graduation are ineligible. Students who have not declared a major in a STEM field or are not enrolled in a STEM-related academic or degree program at a community college are ineligible. Students who are immediate family members of management employees or board members of the applicant employer are ineligible. Students who do not otherwise meet the eligibility requirements described in rule </w:t>
      </w:r>
      <w:hyperlink r:id="rId13">
        <w:r>
          <w:rPr>
            <w:rStyle w:val="Hyperlink"/>
            <w:rFonts w:ascii="Times New Roman" w:hAnsi="Times New Roman"/>
            <w:b w:val="false"/>
            <w:i w:val="false"/>
            <w:color w:val="000000"/>
            <w:sz w:val="22"/>
          </w:rPr>
          <w:t>871—75.7</w:t>
        </w:r>
      </w:hyperlink>
      <w:r>
        <w:rPr>
          <w:rFonts w:ascii="Times New Roman" w:hAnsi="Times New Roman"/>
          <w:b w:val="false"/>
          <w:i w:val="false"/>
          <w:color w:val="000000"/>
          <w:sz w:val="22"/>
        </w:rPr>
        <w:t>(84A,85GA,ch1132,86GA,SF510) are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871—75.9</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develop a standardized application and make the application available to eligible employers. To apply for assistance under the program, an employer will submit an application to the department. Required forms and instructions are available by contacting the department or from the department’s website at </w:t>
      </w:r>
      <w:hyperlink r:id="rId14">
        <w:r>
          <w:rPr>
            <w:rStyle w:val="Hyperlink"/>
            <w:rFonts w:ascii="Times New Roman" w:hAnsi="Times New Roman"/>
            <w:b w:val="false"/>
            <w:i w:val="false"/>
            <w:color w:val="000000"/>
            <w:sz w:val="22"/>
            <w:u w:val="single"/>
          </w:rPr>
          <w:t>www.workforce.iowa.gov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by the staff of the department. The director of the department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871—75.10</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val="false"/>
          <w:color w:val="000000"/>
          <w:sz w:val="22"/>
        </w:rPr>
        <w:t>An employer seeking assistance under the program will submit a completed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employer will secure an intern or interns within the time period stated in the contract between the department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75.10(3)</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student will perform at the internship site and how the duties correlate to a substantive experience in an area closely related to the student’s STEM field. The application will also include information regarding the student’s work space (e.g.,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employer’s representative who will train and supervise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internship site and the student’s potential for prospective employment with the employer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75.10(4)</w:t>
      </w:r>
      <w:r>
        <w:rPr>
          <w:rFonts w:ascii="Times New Roman" w:hAnsi="Times New Roman"/>
          <w:b w:val="false"/>
          <w:i w:val="false"/>
          <w:color w:val="000000"/>
          <w:sz w:val="22"/>
        </w:rPr>
        <w:t> </w:t>
      </w:r>
      <w:r>
        <w:rPr>
          <w:rFonts w:ascii="Times New Roman" w:hAnsi="Times New Roman"/>
          <w:b w:val="false"/>
          <w:i w:val="false"/>
          <w:color w:val="000000"/>
          <w:sz w:val="22"/>
        </w:rPr>
        <w:t>In accepting applications from employers, the department may require additional information reasonably related to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871—75.11</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Award process. </w:t>
      </w:r>
      <w:r>
        <w:rPr>
          <w:rFonts w:ascii="Times New Roman" w:hAnsi="Times New Roman"/>
          <w:b w:val="false"/>
          <w:i w:val="false"/>
          <w:color w:val="000000"/>
          <w:sz w:val="22"/>
        </w:rPr>
        <w:t xml:space="preserve">Applications will be reviewed in the order received by the department. The department will attempt to award as many eligible internships as funding allows. However, the department may deny applications for incompleteness or because of insufficient funds. The department will score applications according to the criteria specified in rule </w:t>
      </w:r>
      <w:hyperlink r:id="rId15">
        <w:r>
          <w:rPr>
            <w:rStyle w:val="Hyperlink"/>
            <w:rFonts w:ascii="Times New Roman" w:hAnsi="Times New Roman"/>
            <w:b w:val="false"/>
            <w:i w:val="false"/>
            <w:color w:val="000000"/>
            <w:sz w:val="22"/>
          </w:rPr>
          <w:t>871—75.12</w:t>
        </w:r>
      </w:hyperlink>
      <w:r>
        <w:rPr>
          <w:rFonts w:ascii="Times New Roman" w:hAnsi="Times New Roman"/>
          <w:b w:val="false"/>
          <w:i w:val="false"/>
          <w:color w:val="000000"/>
          <w:sz w:val="22"/>
        </w:rPr>
        <w:t>(84A,85GA,ch1132,86GA,SF510).  Applications that receive a minimum score of 65 out of a possible 100 points and meet all other eligibility criteria specified in these rules will be considered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871—75.12</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under the program are reviewed, the following criteria will be considered and scored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student is involved in a substantive experience closely related to the student’s STEM field of study.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75.12(2)</w:t>
      </w:r>
      <w:r>
        <w:rPr>
          <w:rFonts w:ascii="Times New Roman" w:hAnsi="Times New Roman"/>
          <w:b w:val="false"/>
          <w:i w:val="false"/>
          <w:color w:val="000000"/>
          <w:sz w:val="22"/>
        </w:rPr>
        <w:t> </w:t>
      </w:r>
      <w:r>
        <w:rPr>
          <w:rFonts w:ascii="Times New Roman" w:hAnsi="Times New Roman"/>
          <w:b w:val="false"/>
          <w:i w:val="false"/>
          <w:color w:val="000000"/>
          <w:sz w:val="22"/>
        </w:rPr>
        <w:t>The quality and sufficiency of the explanation of the employer’s anticipated workforce needs and of the student’s potential for prospective employment with the employer or another Iowa employer following graduation. 30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employer’s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will have a positive impact on the student’s skills, knowledge and abilities.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75.12(5)</w:t>
      </w:r>
      <w:r>
        <w:rPr>
          <w:rFonts w:ascii="Times New Roman" w:hAnsi="Times New Roman"/>
          <w:b w:val="false"/>
          <w:i w:val="false"/>
          <w:color w:val="000000"/>
          <w:sz w:val="22"/>
        </w:rPr>
        <w:t> </w:t>
      </w:r>
      <w:r>
        <w:rPr>
          <w:rFonts w:ascii="Times New Roman" w:hAnsi="Times New Roman"/>
          <w:b w:val="false"/>
          <w:i w:val="false"/>
          <w:color w:val="000000"/>
          <w:sz w:val="22"/>
        </w:rPr>
        <w:t>Whether 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75.12(6)</w:t>
      </w:r>
      <w:r>
        <w:rPr>
          <w:rFonts w:ascii="Times New Roman" w:hAnsi="Times New Roman"/>
          <w:b w:val="false"/>
          <w:i w:val="false"/>
          <w:color w:val="000000"/>
          <w:sz w:val="22"/>
        </w:rPr>
        <w:t> </w:t>
      </w:r>
      <w:r>
        <w:rPr>
          <w:rFonts w:ascii="Times New Roman" w:hAnsi="Times New Roman"/>
          <w:b w:val="false"/>
          <w:i w:val="false"/>
          <w:color w:val="000000"/>
          <w:sz w:val="22"/>
        </w:rPr>
        <w:t>Whether applications will be accepted by the employer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75.12(7)</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establishes that all relevant internship considerations, including necessary funding, have been addressed by the employer in advance.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871—75.13</w:t>
      </w:r>
      <w:r>
        <w:rPr>
          <w:rFonts w:ascii="Times New Roman" w:hAnsi="Times New Roman"/>
          <w:b/>
          <w:i w:val="false"/>
          <w:color w:val="000000"/>
          <w:sz w:val="22"/>
        </w:rPr>
        <w:t xml:space="preserve">(84A,85GA,ch1132,86GA,SF510)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employer receiving an award under the program will execute a standard contract prepared by the department. The contract may include but is not limited to a description of the internship to be completed, the conditions for disbursement, required reporting, the applicable events of default, the repayment requirements imposed in the event of default, and any other specific provisions that may be established from time to time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employer receiving assistance under the program will submit any information reasonably requested by the department in sufficient detail to permit the department to prepare any reports required by the department,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and terminations. </w:t>
      </w:r>
      <w:r>
        <w:rPr>
          <w:rFonts w:ascii="Times New Roman" w:hAnsi="Times New Roman"/>
          <w:b w:val="false"/>
          <w:i w:val="false"/>
          <w:color w:val="000000"/>
          <w:sz w:val="22"/>
        </w:rPr>
        <w:t>Contract amendments or termination may be approved by the director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9569C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0033D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2014 Iowa Acts, chapter 1132</w:t>
      </w:r>
      <w:r>
        <w:rPr>
          <w:rFonts w:ascii="Times New Roman" w:hAnsi="Times New Roman"/>
          <w:b w:val="false"/>
          <w:i w:val="false"/>
          <w:color w:val="000000"/>
          <w:sz w:val="22"/>
        </w:rPr>
        <w:t xml:space="preserve">, section 12, and Iowa Code section </w:t>
      </w:r>
      <w:hyperlink r:id="rId16">
        <w:r>
          <w:rPr>
            <w:rStyle w:val="Hyperlink"/>
            <w:rFonts w:ascii="Times New Roman" w:hAnsi="Times New Roman"/>
            <w:b w:val="false"/>
            <w:i w:val="false"/>
            <w:color w:val="000000"/>
            <w:sz w:val="22"/>
          </w:rPr>
          <w:t>84A.21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3386C</w:t>
      </w:r>
      <w:r>
        <w:rPr>
          <w:rFonts w:ascii="Times New Roman" w:hAnsi="Times New Roman"/>
          <w:b w:val="false"/>
          <w:i w:val="false"/>
          <w:color w:val="000000"/>
          <w:sz w:val="21"/>
        </w:rPr>
        <w:t xml:space="preserve"> (Notice ARC 3155C, IAB 7/5/17)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9569C</w:t>
      </w:r>
      <w:r>
        <w:rPr>
          <w:rFonts w:ascii="Times New Roman" w:hAnsi="Times New Roman"/>
          <w:b w:val="false"/>
          <w:i w:val="false"/>
          <w:color w:val="000000"/>
          <w:sz w:val="21"/>
        </w:rPr>
        <w:t xml:space="preserve"> (Notice ARC 9431C, IAB 7/23/25)</w:t>
      </w:r>
      <w:r>
        <w:rPr>
          <w:rFonts w:ascii="Times New Roman" w:hAnsi="Times New Roman"/>
          <w:b w:val="false"/>
          <w:i w:val="false"/>
          <w:color w:val="000000"/>
          <w:sz w:val="21"/>
        </w:rPr>
        <w:t>, IAB 9/17/25, effective 10/22/25]</w:t>
      </w:r>
    </w:p>
    <w:p>
      <w:pPr>
        <w:spacing w:before="0" w:after="0"/>
        <w:ind w:left="120"/>
        <w:jc w:val="center"/>
      </w:pPr>
      <w:r>
        <w:rPr>
          <w:rFonts w:ascii="Times New Roman" w:hAnsi="Times New Roman"/>
          <w:b w:val="false"/>
          <w:i w:val="false"/>
          <w:color w:val="000000"/>
          <w:sz w:val="21"/>
        </w:rPr>
        <w:t>[Filed Emergency ARC 0033D, IAB 2/4/26, effective 1/12/26]</w:t>
      </w:r>
    </w:p>
    <w:sectPr>
      <w:footerReference r:id="rId17"/>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21.pdf" Type="http://schemas.openxmlformats.org/officeDocument/2006/relationships/hyperlink" Id="rId5"/>
    <Relationship TargetMode="External" Target="https://www.legis.iowa.gov/docs/ico/chapter/84A.1.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84A.1.pdf" Type="http://schemas.openxmlformats.org/officeDocument/2006/relationships/hyperlink" Id="rId8"/>
    <Relationship TargetMode="External" Target="https://www.legis.iowa.gov/docs/ico/chapter/84A.21.pdf" Type="http://schemas.openxmlformats.org/officeDocument/2006/relationships/hyperlink" Id="rId9"/>
    <Relationship TargetMode="External" Target="http://www.act.org" Type="http://schemas.openxmlformats.org/officeDocument/2006/relationships/hyperlink" Id="rId10"/>
    <Relationship TargetMode="External" Target="https://www.legis.iowa.gov/docs/iac/chapter/871.69.pdf" Type="http://schemas.openxmlformats.org/officeDocument/2006/relationships/hyperlink" Id="rId11"/>
    <Relationship TargetMode="External" Target="https://www.legis.iowa.gov/docs/iac/rule/871.75.3.pdf" Type="http://schemas.openxmlformats.org/officeDocument/2006/relationships/hyperlink" Id="rId12"/>
    <Relationship TargetMode="External" Target="https://www.legis.iowa.gov/docs/iac/rule/871.75.7.pdf" Type="http://schemas.openxmlformats.org/officeDocument/2006/relationships/hyperlink" Id="rId13"/>
    <Relationship TargetMode="External" Target="http://www.workforce.iowa.gov" Type="http://schemas.openxmlformats.org/officeDocument/2006/relationships/hyperlink" Id="rId14"/>
    <Relationship TargetMode="External" Target="https://www.legis.iowa.gov/docs/iac/rule/871.75.12.pdf" Type="http://schemas.openxmlformats.org/officeDocument/2006/relationships/hyperlink" Id="rId15"/>
    <Relationship TargetMode="External" Target="https://www.legis.iowa.gov/docs/ico/chapter/84A.21.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