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INNOVATIVE BUSINESSES INTERNSHIP PROGRAM</w:t>
      </w:r>
    </w:p>
    <w:p>
      <w:pPr>
        <w:spacing w:before="0" w:after="0"/>
        <w:ind w:left="120"/>
        <w:jc w:val="center"/>
      </w:pPr>
      <w:r>
        <w:rPr>
          <w:rFonts w:ascii="Times New Roman" w:hAnsi="Times New Roman"/>
          <w:b w:val="false"/>
          <w:i w:val="false"/>
          <w:color w:val="000000"/>
          <w:sz w:val="14"/>
        </w:rPr>
        <w:t>[Prior to 11/1/23, see Economic Development Authority[261] Ch 104]</w:t>
      </w:r>
    </w:p>
    <w:p>
      <w:pPr>
        <w:spacing w:before="0" w:after="0"/>
        <w:ind w:left="120"/>
        <w:jc w:val="center"/>
      </w:pPr>
      <w:r>
        <w:rPr>
          <w:rFonts w:ascii="Times New Roman" w:hAnsi="Times New Roman"/>
          <w:b w:val="false"/>
          <w:i w:val="false"/>
          <w:color w:val="000000"/>
          <w:sz w:val="14"/>
        </w:rPr>
        <w:t>[Prior to 5/14/25, see Workforce Development Board, State[877] Ch 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10/22/30</w:t>
      </w:r>
    </w:p>
    <w:p>
      <w:pPr>
        <w:spacing w:before="0" w:after="0"/>
        <w:ind w:left="120"/>
        <w:jc w:val="both"/>
      </w:pPr>
      <w:r>
        <w:rPr>
          <w:rFonts w:ascii="Times New Roman" w:hAnsi="Times New Roman"/>
          <w:b/>
          <w:i w:val="false"/>
          <w:color w:val="000000"/>
          <w:sz w:val="22"/>
        </w:rPr>
        <w:t>871—69.1</w:t>
      </w:r>
      <w:r>
        <w:rPr>
          <w:rFonts w:ascii="Times New Roman" w:hAnsi="Times New Roman"/>
          <w:b/>
          <w:i w:val="false"/>
          <w:color w:val="000000"/>
          <w:sz w:val="22"/>
        </w:rPr>
        <w:t xml:space="preserve">(84A)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adopting rules establishing an innovative businesses internship program is provided in Iowa Code section </w:t>
      </w:r>
      <w:hyperlink r:id="rId5">
        <w:r>
          <w:rPr>
            <w:rStyle w:val="Hyperlink"/>
            <w:rFonts w:ascii="Times New Roman" w:hAnsi="Times New Roman"/>
            <w:b w:val="false"/>
            <w:i w:val="false"/>
            <w:color w:val="000000"/>
            <w:sz w:val="22"/>
          </w:rPr>
          <w:t>84A.21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0034D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871—69.2</w:t>
      </w:r>
      <w:r>
        <w:rPr>
          <w:rFonts w:ascii="Times New Roman" w:hAnsi="Times New Roman"/>
          <w:b/>
          <w:i w:val="false"/>
          <w:color w:val="000000"/>
          <w:sz w:val="22"/>
        </w:rPr>
        <w:t xml:space="preserve">(84A)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innovative businesses internship program is to link Iowa students to small- and medium-sized Iowa firms through internship opportunities.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0034D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871—69.3</w:t>
      </w:r>
      <w:r>
        <w:rPr>
          <w:rFonts w:ascii="Times New Roman" w:hAnsi="Times New Roman"/>
          <w:b/>
          <w:i w:val="false"/>
          <w:color w:val="000000"/>
          <w:sz w:val="22"/>
        </w:rPr>
        <w:t xml:space="preserve">(84A)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department appointed by the governor and in whom the powers of the department are vested pursuant to Iowa Code section </w:t>
      </w:r>
      <w:hyperlink r:id="rId6">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means a community college established under Iowa Code chapter </w:t>
      </w:r>
      <w:hyperlink r:id="rId7">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Iowa workforce development created in Iowa Code section </w:t>
      </w:r>
      <w:hyperlink r:id="rId8">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“Innovative business”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15E.52(1)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“Internship” </w:t>
      </w:r>
      <w:r>
        <w:rPr>
          <w:rFonts w:ascii="Times New Roman" w:hAnsi="Times New Roman"/>
          <w:b w:val="false"/>
          <w:i w:val="false"/>
          <w:color w:val="000000"/>
          <w:sz w:val="22"/>
        </w:rPr>
        <w:t>means temporary employment of a student that focuses on providing the student with work experience in the student’s field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innovative businesses internship program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“Prospective employee” </w:t>
      </w:r>
      <w:r>
        <w:rPr>
          <w:rFonts w:ascii="Times New Roman" w:hAnsi="Times New Roman"/>
          <w:b w:val="false"/>
          <w:i w:val="false"/>
          <w:color w:val="000000"/>
          <w:sz w:val="22"/>
        </w:rPr>
        <w:t>means a student who is anticipated to be hired upon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student of one of the Iowa community colleges, private colleges, or institutions of higher learning under the control of the state board of regents or a student who graduated from high school in Iowa but attends an institution of higher learning outside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0034D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871—69.4</w:t>
      </w:r>
      <w:r>
        <w:rPr>
          <w:rFonts w:ascii="Times New Roman" w:hAnsi="Times New Roman"/>
          <w:b/>
          <w:i w:val="false"/>
          <w:color w:val="000000"/>
          <w:sz w:val="22"/>
        </w:rPr>
        <w:t xml:space="preserve">(84A) </w:t>
      </w:r>
      <w:r>
        <w:rPr>
          <w:rFonts w:ascii="Times New Roman" w:hAnsi="Times New Roman"/>
          <w:b/>
          <w:i w:val="false"/>
          <w:color w:val="000000"/>
          <w:sz w:val="22"/>
        </w:rPr>
        <w:t xml:space="preserve">Program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w:t>
      </w:r>
      <w:r>
        <w:rPr>
          <w:rFonts w:ascii="Times New Roman" w:hAnsi="Times New Roman"/>
          <w:b w:val="false"/>
          <w:i w:val="false"/>
          <w:color w:val="000000"/>
          <w:sz w:val="22"/>
        </w:rPr>
        <w:t> </w:t>
      </w:r>
      <w:r>
        <w:rPr>
          <w:rFonts w:ascii="Times New Roman" w:hAnsi="Times New Roman"/>
          <w:b w:val="false"/>
          <w:i w:val="false"/>
          <w:color w:val="000000"/>
          <w:sz w:val="22"/>
        </w:rPr>
        <w:t>The maximum award amount that may be awarded for any single internship is $3,100 or $9,300 to any one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w:t>
      </w:r>
      <w:r>
        <w:rPr>
          <w:rFonts w:ascii="Times New Roman" w:hAnsi="Times New Roman"/>
          <w:b w:val="false"/>
          <w:i w:val="false"/>
          <w:color w:val="000000"/>
          <w:sz w:val="22"/>
        </w:rPr>
        <w:t> </w:t>
      </w:r>
      <w:r>
        <w:rPr>
          <w:rFonts w:ascii="Times New Roman" w:hAnsi="Times New Roman"/>
          <w:b w:val="false"/>
          <w:i w:val="false"/>
          <w:color w:val="000000"/>
          <w:sz w:val="22"/>
        </w:rPr>
        <w:t>Funds are to be used for reimbursement of wages during the designated internship period. Employers will pay students hired as interns an hourly wage that is at least twice the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69.4(3)</w:t>
      </w:r>
      <w:r>
        <w:rPr>
          <w:rFonts w:ascii="Times New Roman" w:hAnsi="Times New Roman"/>
          <w:b w:val="false"/>
          <w:i w:val="false"/>
          <w:color w:val="000000"/>
          <w:sz w:val="22"/>
        </w:rPr>
        <w:t> </w:t>
      </w:r>
      <w:r>
        <w:rPr>
          <w:rFonts w:ascii="Times New Roman" w:hAnsi="Times New Roman"/>
          <w:b w:val="false"/>
          <w:i w:val="false"/>
          <w:color w:val="000000"/>
          <w:sz w:val="22"/>
        </w:rPr>
        <w:t>The  department will award funds to a business based upon department approval of a completed application and the execution of a contract between the business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69.4(4)</w:t>
      </w:r>
      <w:r>
        <w:rPr>
          <w:rFonts w:ascii="Times New Roman" w:hAnsi="Times New Roman"/>
          <w:b w:val="false"/>
          <w:i w:val="false"/>
          <w:color w:val="000000"/>
          <w:sz w:val="22"/>
        </w:rPr>
        <w:t> </w:t>
      </w:r>
      <w:r>
        <w:rPr>
          <w:rFonts w:ascii="Times New Roman" w:hAnsi="Times New Roman"/>
          <w:b w:val="false"/>
          <w:i w:val="false"/>
          <w:color w:val="000000"/>
          <w:sz w:val="22"/>
        </w:rPr>
        <w:t>A business may receive financial assistance on a matching basis for a portion of the wages paid to an intern. If providing financial assistance, the department will provide the assistance on a reimbursement basis such that for every two dollars of wages earned by the student, one dollar paid by the business is matched by one dollar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0034D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871—69.5</w:t>
      </w:r>
      <w:r>
        <w:rPr>
          <w:rFonts w:ascii="Times New Roman" w:hAnsi="Times New Roman"/>
          <w:b/>
          <w:i w:val="false"/>
          <w:color w:val="000000"/>
          <w:sz w:val="22"/>
        </w:rPr>
        <w:t xml:space="preserve">(84A) </w:t>
      </w:r>
      <w:r>
        <w:rPr>
          <w:rFonts w:ascii="Times New Roman" w:hAnsi="Times New Roman"/>
          <w:b/>
          <w:i w:val="false"/>
          <w:color w:val="000000"/>
          <w:sz w:val="22"/>
        </w:rPr>
        <w:t xml:space="preserve">Eligible business. </w:t>
      </w:r>
      <w:r>
        <w:rPr>
          <w:rFonts w:ascii="Times New Roman" w:hAnsi="Times New Roman"/>
          <w:b w:val="false"/>
          <w:i w:val="false"/>
          <w:color w:val="000000"/>
          <w:sz w:val="22"/>
        </w:rPr>
        <w:t>Eligible businesses may apply to the department for assistance under the program. The program is available to Iowa businesses that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val="false"/>
          <w:color w:val="000000"/>
          <w:sz w:val="22"/>
        </w:rPr>
        <w:t>The business is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Iowa-based business with fewer than 500 employees,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business that is not based in Iowa with a significant portion employed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val="false"/>
          <w:color w:val="000000"/>
          <w:sz w:val="22"/>
        </w:rPr>
        <w:t>The business is engaged in an innovative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val="false"/>
          <w:color w:val="000000"/>
          <w:sz w:val="22"/>
        </w:rPr>
        <w:t>The business offers the internship to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69.5(4)</w:t>
      </w:r>
      <w:r>
        <w:rPr>
          <w:rFonts w:ascii="Times New Roman" w:hAnsi="Times New Roman"/>
          <w:b w:val="false"/>
          <w:i w:val="false"/>
          <w:color w:val="000000"/>
          <w:sz w:val="22"/>
        </w:rPr>
        <w:t> </w:t>
      </w:r>
      <w:r>
        <w:rPr>
          <w:rFonts w:ascii="Times New Roman" w:hAnsi="Times New Roman"/>
          <w:b w:val="false"/>
          <w:i w:val="false"/>
          <w:color w:val="000000"/>
          <w:sz w:val="22"/>
        </w:rPr>
        <w:t>The business’s summer internships have a minimum duration of 8 weeks (a minimum of 240 hours per internship), and the business’s semester internships have a minimum duration of 14 weeks (a minimum of 140 hours per internship).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0034D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871—69.6</w:t>
      </w:r>
      <w:r>
        <w:rPr>
          <w:rFonts w:ascii="Times New Roman" w:hAnsi="Times New Roman"/>
          <w:b/>
          <w:i w:val="false"/>
          <w:color w:val="000000"/>
          <w:sz w:val="22"/>
        </w:rPr>
        <w:t xml:space="preserve">(84A) </w:t>
      </w:r>
      <w:r>
        <w:rPr>
          <w:rFonts w:ascii="Times New Roman" w:hAnsi="Times New Roman"/>
          <w:b/>
          <w:i w:val="false"/>
          <w:color w:val="000000"/>
          <w:sz w:val="22"/>
        </w:rPr>
        <w:t xml:space="preserve">Ineligible business. </w:t>
      </w:r>
      <w:r>
        <w:rPr>
          <w:rFonts w:ascii="Times New Roman" w:hAnsi="Times New Roman"/>
          <w:b w:val="false"/>
          <w:i w:val="false"/>
          <w:color w:val="000000"/>
          <w:sz w:val="22"/>
        </w:rPr>
        <w:t>The following businesses are not eligible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69.6(1)</w:t>
      </w:r>
      <w:r>
        <w:rPr>
          <w:rFonts w:ascii="Times New Roman" w:hAnsi="Times New Roman"/>
          <w:b w:val="false"/>
          <w:i w:val="false"/>
          <w:color w:val="000000"/>
          <w:sz w:val="22"/>
        </w:rPr>
        <w:t> </w:t>
      </w:r>
      <w:r>
        <w:rPr>
          <w:rFonts w:ascii="Times New Roman" w:hAnsi="Times New Roman"/>
          <w:b w:val="false"/>
          <w:i w:val="false"/>
          <w:color w:val="000000"/>
          <w:sz w:val="22"/>
        </w:rPr>
        <w:t>A business that is engaged in retail sales, health care, or other businesses requiring a professional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69.6(2)</w:t>
      </w:r>
      <w:r>
        <w:rPr>
          <w:rFonts w:ascii="Times New Roman" w:hAnsi="Times New Roman"/>
          <w:b w:val="false"/>
          <w:i w:val="false"/>
          <w:color w:val="000000"/>
          <w:sz w:val="22"/>
        </w:rPr>
        <w:t> </w:t>
      </w:r>
      <w:r>
        <w:rPr>
          <w:rFonts w:ascii="Times New Roman" w:hAnsi="Times New Roman"/>
          <w:b w:val="false"/>
          <w:i w:val="false"/>
          <w:color w:val="000000"/>
          <w:sz w:val="22"/>
        </w:rPr>
        <w:t>A business that closes or substantially reduces its workforce by more than 20 percent at existing operations in order to relocate substantially the same operations to another area of the state is ineligible for 36 consecutive months at any of its Iowa sites from the date the new establishment opens.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0034D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871—69.7</w:t>
      </w:r>
      <w:r>
        <w:rPr>
          <w:rFonts w:ascii="Times New Roman" w:hAnsi="Times New Roman"/>
          <w:b/>
          <w:i w:val="false"/>
          <w:color w:val="000000"/>
          <w:sz w:val="22"/>
        </w:rPr>
        <w:t xml:space="preserve">(84A) </w:t>
      </w:r>
      <w:r>
        <w:rPr>
          <w:rFonts w:ascii="Times New Roman" w:hAnsi="Times New Roman"/>
          <w:b/>
          <w:i w:val="false"/>
          <w:color w:val="000000"/>
          <w:sz w:val="22"/>
        </w:rPr>
        <w:t xml:space="preserve">Eligible students. </w:t>
      </w:r>
      <w:r>
        <w:rPr>
          <w:rFonts w:ascii="Times New Roman" w:hAnsi="Times New Roman"/>
          <w:b w:val="false"/>
          <w:i w:val="false"/>
          <w:color w:val="000000"/>
          <w:sz w:val="22"/>
        </w:rPr>
        <w:t>Students who are within one to two years of graduation and enrolled at one of Iowa’s community colleges, private colleges, or institutions of higher learning under the control of the state board of regents are eligible. A student as defined in this chapter is eligible for an internship under this rule. The department will encourage youth who reside in economically distressed areas, youth adjudicated to have committed a delinquent act, and youth transitioning out of foster care to participate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0034D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871—69.8</w:t>
      </w:r>
      <w:r>
        <w:rPr>
          <w:rFonts w:ascii="Times New Roman" w:hAnsi="Times New Roman"/>
          <w:b/>
          <w:i w:val="false"/>
          <w:color w:val="000000"/>
          <w:sz w:val="22"/>
        </w:rPr>
        <w:t xml:space="preserve">(84A) </w:t>
      </w:r>
      <w:r>
        <w:rPr>
          <w:rFonts w:ascii="Times New Roman" w:hAnsi="Times New Roman"/>
          <w:b/>
          <w:i w:val="false"/>
          <w:color w:val="000000"/>
          <w:sz w:val="22"/>
        </w:rPr>
        <w:t xml:space="preserve">Ineligible students. </w:t>
      </w:r>
      <w:r>
        <w:rPr>
          <w:rFonts w:ascii="Times New Roman" w:hAnsi="Times New Roman"/>
          <w:b w:val="false"/>
          <w:i w:val="false"/>
          <w:color w:val="000000"/>
          <w:sz w:val="22"/>
        </w:rPr>
        <w:t xml:space="preserve">Students who are more than two years from graduation are ineligible. Students who are immediate family members of management employees or board members of the applicant business are ineligible. Students who do not otherwise meet the eligibility requirements described in rule </w:t>
      </w:r>
      <w:hyperlink r:id="rId10">
        <w:r>
          <w:rPr>
            <w:rStyle w:val="Hyperlink"/>
            <w:rFonts w:ascii="Times New Roman" w:hAnsi="Times New Roman"/>
            <w:b w:val="false"/>
            <w:i w:val="false"/>
            <w:color w:val="000000"/>
            <w:sz w:val="22"/>
          </w:rPr>
          <w:t>871—69.7</w:t>
        </w:r>
      </w:hyperlink>
      <w:r>
        <w:rPr>
          <w:rFonts w:ascii="Times New Roman" w:hAnsi="Times New Roman"/>
          <w:b w:val="false"/>
          <w:i w:val="false"/>
          <w:color w:val="000000"/>
          <w:sz w:val="22"/>
        </w:rPr>
        <w:t>(84A) are not 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0034D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871—69.9</w:t>
      </w:r>
      <w:r>
        <w:rPr>
          <w:rFonts w:ascii="Times New Roman" w:hAnsi="Times New Roman"/>
          <w:b/>
          <w:i w:val="false"/>
          <w:color w:val="000000"/>
          <w:sz w:val="22"/>
        </w:rPr>
        <w:t xml:space="preserve">(84A)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develop a standardized application and make the application available to eligible businesses. To apply for assistance under the program, a business will submit an application to the department. Required forms and instructions are available by contacting the department or from the department’s website at </w:t>
      </w:r>
      <w:hyperlink r:id="rId11">
        <w:r>
          <w:rPr>
            <w:rStyle w:val="Hyperlink"/>
            <w:rFonts w:ascii="Times New Roman" w:hAnsi="Times New Roman"/>
            <w:b w:val="false"/>
            <w:i w:val="false"/>
            <w:color w:val="000000"/>
            <w:sz w:val="22"/>
            <w:u w:val="single"/>
          </w:rPr>
          <w:t>www.workforce.iowa.gov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69.9(2)</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reviewed and scored by department staff. The director of the department will make final funding decisions after considering the recommendations of staff. The director has final decision-making authority on requests for financial assistance for this program. The director may approve, defer or deny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0034D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871—69.10</w:t>
      </w:r>
      <w:r>
        <w:rPr>
          <w:rFonts w:ascii="Times New Roman" w:hAnsi="Times New Roman"/>
          <w:b/>
          <w:i w:val="false"/>
          <w:color w:val="000000"/>
          <w:sz w:val="22"/>
        </w:rPr>
        <w:t xml:space="preserve">(84A) </w:t>
      </w:r>
      <w:r>
        <w:rPr>
          <w:rFonts w:ascii="Times New Roman" w:hAnsi="Times New Roman"/>
          <w:b/>
          <w:i w:val="false"/>
          <w:color w:val="000000"/>
          <w:sz w:val="22"/>
        </w:rPr>
        <w:t xml:space="preserve">Application content and other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69.10(1)</w:t>
      </w:r>
      <w:r>
        <w:rPr>
          <w:rFonts w:ascii="Times New Roman" w:hAnsi="Times New Roman"/>
          <w:b w:val="false"/>
          <w:i w:val="false"/>
          <w:color w:val="000000"/>
          <w:sz w:val="22"/>
        </w:rPr>
        <w:t> </w:t>
      </w:r>
      <w:r>
        <w:rPr>
          <w:rFonts w:ascii="Times New Roman" w:hAnsi="Times New Roman"/>
          <w:b w:val="false"/>
          <w:i w:val="false"/>
          <w:color w:val="000000"/>
          <w:sz w:val="22"/>
        </w:rPr>
        <w:t>A business seeking assistance under the program will submit a complete application to the department. Successful applicants will enter into a contract with the department prior to posting or advertising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69.10(2)</w:t>
      </w:r>
      <w:r>
        <w:rPr>
          <w:rFonts w:ascii="Times New Roman" w:hAnsi="Times New Roman"/>
          <w:b w:val="false"/>
          <w:i w:val="false"/>
          <w:color w:val="000000"/>
          <w:sz w:val="22"/>
        </w:rPr>
        <w:t> </w:t>
      </w:r>
      <w:r>
        <w:rPr>
          <w:rFonts w:ascii="Times New Roman" w:hAnsi="Times New Roman"/>
          <w:b w:val="false"/>
          <w:i w:val="false"/>
          <w:color w:val="000000"/>
          <w:sz w:val="22"/>
        </w:rPr>
        <w:t>If an award is made, the business will secure an intern or interns within the time period stated in the contract between the department and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69.10(3)</w:t>
      </w:r>
      <w:r>
        <w:rPr>
          <w:rFonts w:ascii="Times New Roman" w:hAnsi="Times New Roman"/>
          <w:b w:val="false"/>
          <w:i w:val="false"/>
          <w:color w:val="000000"/>
          <w:sz w:val="22"/>
        </w:rPr>
        <w:t> </w:t>
      </w:r>
      <w:r>
        <w:rPr>
          <w:rFonts w:ascii="Times New Roman" w:hAnsi="Times New Roman"/>
          <w:b w:val="false"/>
          <w:i w:val="false"/>
          <w:color w:val="000000"/>
          <w:sz w:val="22"/>
        </w:rPr>
        <w:t>The application will include but not be limited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dates and location of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duties the intern will perform at the business site and how the duties correlate to a substantive experience in one or more of the following areas: research and development; engineering; process management and production; product experimentation and analysis; product development; market research; business planning; and administration. The application will also include information regarding the intern’s work space (e.g., access to telephone, computer, and other necessary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business’s representative who will train and supervise the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the anticipated workforce needs at the business and the student’s potential for prospective employment with the business following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69.10(4)</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require additional information from the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0034D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871—69.11</w:t>
      </w:r>
      <w:r>
        <w:rPr>
          <w:rFonts w:ascii="Times New Roman" w:hAnsi="Times New Roman"/>
          <w:b/>
          <w:i w:val="false"/>
          <w:color w:val="000000"/>
          <w:sz w:val="22"/>
        </w:rPr>
        <w:t xml:space="preserve">(84A) </w:t>
      </w:r>
      <w:r>
        <w:rPr>
          <w:rFonts w:ascii="Times New Roman" w:hAnsi="Times New Roman"/>
          <w:b/>
          <w:i w:val="false"/>
          <w:color w:val="000000"/>
          <w:sz w:val="22"/>
        </w:rPr>
        <w:t xml:space="preserve">Selection process. </w:t>
      </w:r>
      <w:r>
        <w:rPr>
          <w:rFonts w:ascii="Times New Roman" w:hAnsi="Times New Roman"/>
          <w:b w:val="false"/>
          <w:i w:val="false"/>
          <w:color w:val="000000"/>
          <w:sz w:val="22"/>
        </w:rPr>
        <w:t xml:space="preserve">Applications will be reviewed in the order received by the department. The director may approve, defer or deny each application for financial assistance based on the availability of funds. The department will score applications according to the criteria specified in rule </w:t>
      </w:r>
      <w:hyperlink r:id="rId12">
        <w:r>
          <w:rPr>
            <w:rStyle w:val="Hyperlink"/>
            <w:rFonts w:ascii="Times New Roman" w:hAnsi="Times New Roman"/>
            <w:b w:val="false"/>
            <w:i w:val="false"/>
            <w:color w:val="000000"/>
            <w:sz w:val="22"/>
          </w:rPr>
          <w:t>871—69.12</w:t>
        </w:r>
      </w:hyperlink>
      <w:r>
        <w:rPr>
          <w:rFonts w:ascii="Times New Roman" w:hAnsi="Times New Roman"/>
          <w:b w:val="false"/>
          <w:i w:val="false"/>
          <w:color w:val="000000"/>
          <w:sz w:val="22"/>
        </w:rPr>
        <w:t>(84A). Applications that receive a minimum score of 65 out of a possible 100 points and meet all other eligibility criteria specified in these rules will be considered for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0034D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871—69.12</w:t>
      </w:r>
      <w:r>
        <w:rPr>
          <w:rFonts w:ascii="Times New Roman" w:hAnsi="Times New Roman"/>
          <w:b/>
          <w:i w:val="false"/>
          <w:color w:val="000000"/>
          <w:sz w:val="22"/>
        </w:rPr>
        <w:t xml:space="preserve">(84A) </w:t>
      </w:r>
      <w:r>
        <w:rPr>
          <w:rFonts w:ascii="Times New Roman" w:hAnsi="Times New Roman"/>
          <w:b/>
          <w:i w:val="false"/>
          <w:color w:val="000000"/>
          <w:sz w:val="22"/>
        </w:rPr>
        <w:t xml:space="preserve">Application scoring criteria. </w:t>
      </w:r>
      <w:r>
        <w:rPr>
          <w:rFonts w:ascii="Times New Roman" w:hAnsi="Times New Roman"/>
          <w:b w:val="false"/>
          <w:i w:val="false"/>
          <w:color w:val="000000"/>
          <w:sz w:val="22"/>
        </w:rPr>
        <w:t>When applications for financial assistance under the program are reviewed, the following criteria will be considered and scored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69.12(1)</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student is involved in a substantive experience in one or more of the following areas: research and development; engineering; process management and production; product experimentation and analysis; product development; market research; business planning; and administration. 25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69.12(2)</w:t>
      </w:r>
      <w:r>
        <w:rPr>
          <w:rFonts w:ascii="Times New Roman" w:hAnsi="Times New Roman"/>
          <w:b w:val="false"/>
          <w:i w:val="false"/>
          <w:color w:val="000000"/>
          <w:sz w:val="22"/>
        </w:rPr>
        <w:t> </w:t>
      </w:r>
      <w:r>
        <w:rPr>
          <w:rFonts w:ascii="Times New Roman" w:hAnsi="Times New Roman"/>
          <w:b w:val="false"/>
          <w:i w:val="false"/>
          <w:color w:val="000000"/>
          <w:sz w:val="22"/>
        </w:rPr>
        <w:t>The quality and sufficiency of the explanation of the business’s anticipated workforce needs and of the student’s potential for prospective employment with the business following graduation. 20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duties require independent judgment, creativity, and intelligence to complete and contribute to the business’s goals or processes.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69.12(4)</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will have a positive impact on the intern’s skills, knowledge and abilities. 15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69.12(5)</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pays more than twice the minimum wage.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69.12(6)</w:t>
      </w:r>
      <w:r>
        <w:rPr>
          <w:rFonts w:ascii="Times New Roman" w:hAnsi="Times New Roman"/>
          <w:b w:val="false"/>
          <w:i w:val="false"/>
          <w:color w:val="000000"/>
          <w:sz w:val="22"/>
        </w:rPr>
        <w:t> </w:t>
      </w:r>
      <w:r>
        <w:rPr>
          <w:rFonts w:ascii="Times New Roman" w:hAnsi="Times New Roman"/>
          <w:b w:val="false"/>
          <w:i w:val="false"/>
          <w:color w:val="000000"/>
          <w:sz w:val="22"/>
        </w:rPr>
        <w:t>The business’s contribution to the internship program is above the minimum program match requirement.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69.12(7)</w:t>
      </w:r>
      <w:r>
        <w:rPr>
          <w:rFonts w:ascii="Times New Roman" w:hAnsi="Times New Roman"/>
          <w:b w:val="false"/>
          <w:i w:val="false"/>
          <w:color w:val="000000"/>
          <w:sz w:val="22"/>
        </w:rPr>
        <w:t> </w:t>
      </w:r>
      <w:r>
        <w:rPr>
          <w:rFonts w:ascii="Times New Roman" w:hAnsi="Times New Roman"/>
          <w:b w:val="false"/>
          <w:i w:val="false"/>
          <w:color w:val="000000"/>
          <w:sz w:val="22"/>
        </w:rPr>
        <w:t>Whether applications will be accepted by the employer from more than one private college, university or community college. 5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69.12(8)</w:t>
      </w:r>
      <w:r>
        <w:rPr>
          <w:rFonts w:ascii="Times New Roman" w:hAnsi="Times New Roman"/>
          <w:b w:val="false"/>
          <w:i w:val="false"/>
          <w:color w:val="000000"/>
          <w:sz w:val="22"/>
        </w:rPr>
        <w:t> </w:t>
      </w:r>
      <w:r>
        <w:rPr>
          <w:rFonts w:ascii="Times New Roman" w:hAnsi="Times New Roman"/>
          <w:b w:val="false"/>
          <w:i w:val="false"/>
          <w:color w:val="000000"/>
          <w:sz w:val="22"/>
        </w:rPr>
        <w:t>Whether the application establishes that all considerations, including funding required to begin the internship, have been addressed. 5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0034D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871—69.13</w:t>
      </w:r>
      <w:r>
        <w:rPr>
          <w:rFonts w:ascii="Times New Roman" w:hAnsi="Times New Roman"/>
          <w:b/>
          <w:i w:val="false"/>
          <w:color w:val="000000"/>
          <w:sz w:val="22"/>
        </w:rPr>
        <w:t xml:space="preserve">(84A) </w:t>
      </w:r>
      <w:r>
        <w:rPr>
          <w:rFonts w:ascii="Times New Roman" w:hAnsi="Times New Roman"/>
          <w:b/>
          <w:i w:val="false"/>
          <w:color w:val="000000"/>
          <w:sz w:val="22"/>
        </w:rPr>
        <w:t xml:space="preserve">Contract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Successful applicants will be notified in writing of an award of assistance, including any conditions and terms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The department will execute a standard contract, which includes but is not limited to a description of the internship to be completed, conditions to disbursement, required reports, the applicable events of default, the repayment requirements imposed in the event of default, and other specific repayment provisions that may be established from time to time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 business that has been awarded assistance under the program will submit any information requested by the department in sufficient detail to permit the department to prepare any reports required by the department, the board, the general assembly or the governor’s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69.13(4)</w:t>
      </w:r>
      <w:r>
        <w:rPr>
          <w:rFonts w:ascii="Times New Roman" w:hAnsi="Times New Roman"/>
          <w:b w:val="false"/>
          <w:i w:val="false"/>
          <w:color w:val="000000"/>
          <w:sz w:val="22"/>
        </w:rPr>
        <w:t> </w:t>
      </w:r>
      <w:r>
        <w:rPr>
          <w:rFonts w:ascii="Times New Roman" w:hAnsi="Times New Roman"/>
          <w:b w:val="false"/>
          <w:i/>
          <w:color w:val="000000"/>
          <w:sz w:val="22"/>
        </w:rPr>
        <w:t xml:space="preserve">Contract amendments. </w:t>
      </w:r>
      <w:r>
        <w:rPr>
          <w:rFonts w:ascii="Times New Roman" w:hAnsi="Times New Roman"/>
          <w:b w:val="false"/>
          <w:i w:val="false"/>
          <w:color w:val="000000"/>
          <w:sz w:val="22"/>
        </w:rPr>
        <w:t xml:space="preserve">The board does not need to approve a contract amendment.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9568C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0034D</w:t>
      </w:r>
      <w:r>
        <w:rPr>
          <w:rFonts w:ascii="Times New Roman" w:hAnsi="Times New Roman"/>
          <w:b w:val="false"/>
          <w:i w:val="false"/>
          <w:color w:val="000000"/>
          <w:sz w:val="16"/>
        </w:rPr>
        <w:t>, IAB 2/4/26, effective 1/12/26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84A.21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9/20/07, Notice 8/15/07—published 10/10/07, effective 11/14/07]</w:t>
      </w:r>
    </w:p>
    <w:p>
      <w:pPr>
        <w:spacing w:before="0" w:after="0"/>
        <w:ind w:left="120"/>
        <w:jc w:val="center"/>
      </w:pPr>
      <w:r>
        <w:rPr>
          <w:rFonts w:ascii="Times New Roman" w:hAnsi="Times New Roman"/>
          <w:b w:val="false"/>
          <w:i w:val="false"/>
          <w:color w:val="000000"/>
          <w:sz w:val="21"/>
        </w:rPr>
        <w:t>[Filed emergency 2/22/08—published 3/12/08, effective 2/22/08]</w:t>
      </w:r>
    </w:p>
    <w:p>
      <w:pPr>
        <w:spacing w:before="0" w:after="0"/>
        <w:ind w:left="120"/>
        <w:jc w:val="center"/>
      </w:pPr>
      <w:r>
        <w:rPr>
          <w:rFonts w:ascii="Times New Roman" w:hAnsi="Times New Roman"/>
          <w:b w:val="false"/>
          <w:i w:val="false"/>
          <w:color w:val="000000"/>
          <w:sz w:val="21"/>
        </w:rPr>
        <w:t>[Filed 2/22/08, Notice 12/19/07—published 3/12/08, effective 4/16/08]</w:t>
      </w:r>
    </w:p>
    <w:p>
      <w:pPr>
        <w:spacing w:before="0" w:after="0"/>
        <w:ind w:left="120"/>
        <w:jc w:val="center"/>
      </w:pPr>
      <w:r>
        <w:rPr>
          <w:rFonts w:ascii="Times New Roman" w:hAnsi="Times New Roman"/>
          <w:b w:val="false"/>
          <w:i w:val="false"/>
          <w:color w:val="000000"/>
          <w:sz w:val="21"/>
        </w:rPr>
        <w:t>[Filed Emergency ARC 8848B, IAB 6/16/10, effective 5/20/10]</w:t>
      </w:r>
    </w:p>
    <w:p>
      <w:pPr>
        <w:spacing w:before="0" w:after="0"/>
        <w:ind w:left="120"/>
        <w:jc w:val="center"/>
      </w:pPr>
      <w:r>
        <w:rPr>
          <w:rFonts w:ascii="Times New Roman" w:hAnsi="Times New Roman"/>
          <w:b w:val="false"/>
          <w:i w:val="false"/>
          <w:color w:val="000000"/>
          <w:sz w:val="21"/>
        </w:rPr>
        <w:t>[Filed ARC 9063B</w:t>
      </w:r>
      <w:r>
        <w:rPr>
          <w:rFonts w:ascii="Times New Roman" w:hAnsi="Times New Roman"/>
          <w:b w:val="false"/>
          <w:i w:val="false"/>
          <w:color w:val="000000"/>
          <w:sz w:val="21"/>
        </w:rPr>
        <w:t xml:space="preserve"> (Notice ARC 8849B, IAB 6/16/10)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9754B</w:t>
      </w:r>
      <w:r>
        <w:rPr>
          <w:rFonts w:ascii="Times New Roman" w:hAnsi="Times New Roman"/>
          <w:b w:val="false"/>
          <w:i w:val="false"/>
          <w:color w:val="000000"/>
          <w:sz w:val="21"/>
        </w:rPr>
        <w:t xml:space="preserve"> (Notice ARC 9617B, IAB 7/13/11)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0611C</w:t>
      </w:r>
      <w:r>
        <w:rPr>
          <w:rFonts w:ascii="Times New Roman" w:hAnsi="Times New Roman"/>
          <w:b w:val="false"/>
          <w:i w:val="false"/>
          <w:color w:val="000000"/>
          <w:sz w:val="21"/>
        </w:rPr>
        <w:t xml:space="preserve"> (Notice ARC 0408C, IAB 10/17/12)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Emergency ARC 2099C, IAB 8/19/15, effective 7/20/15]</w:t>
      </w:r>
    </w:p>
    <w:p>
      <w:pPr>
        <w:spacing w:before="0" w:after="0"/>
        <w:ind w:left="120"/>
        <w:jc w:val="center"/>
      </w:pPr>
      <w:r>
        <w:rPr>
          <w:rFonts w:ascii="Times New Roman" w:hAnsi="Times New Roman"/>
          <w:b w:val="false"/>
          <w:i w:val="false"/>
          <w:color w:val="000000"/>
          <w:sz w:val="21"/>
        </w:rPr>
        <w:t>[Filed ARC 2316C</w:t>
      </w:r>
      <w:r>
        <w:rPr>
          <w:rFonts w:ascii="Times New Roman" w:hAnsi="Times New Roman"/>
          <w:b w:val="false"/>
          <w:i w:val="false"/>
          <w:color w:val="000000"/>
          <w:sz w:val="21"/>
        </w:rPr>
        <w:t xml:space="preserve"> (Notice ARC 2098C, IAB 8/19/15)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9568C</w:t>
      </w:r>
      <w:r>
        <w:rPr>
          <w:rFonts w:ascii="Times New Roman" w:hAnsi="Times New Roman"/>
          <w:b w:val="false"/>
          <w:i w:val="false"/>
          <w:color w:val="000000"/>
          <w:sz w:val="21"/>
        </w:rPr>
        <w:t xml:space="preserve"> (Notice ARC 9430C, IAB 7/23/25)</w:t>
      </w:r>
      <w:r>
        <w:rPr>
          <w:rFonts w:ascii="Times New Roman" w:hAnsi="Times New Roman"/>
          <w:b w:val="false"/>
          <w:i w:val="false"/>
          <w:color w:val="000000"/>
          <w:sz w:val="21"/>
        </w:rPr>
        <w:t>, IAB 9/17/25, effective 10/22/25]</w:t>
      </w:r>
    </w:p>
    <w:p>
      <w:pPr>
        <w:spacing w:before="0" w:after="0"/>
        <w:ind w:left="120"/>
        <w:jc w:val="center"/>
      </w:pPr>
      <w:r>
        <w:rPr>
          <w:rFonts w:ascii="Times New Roman" w:hAnsi="Times New Roman"/>
          <w:b w:val="false"/>
          <w:i w:val="false"/>
          <w:color w:val="000000"/>
          <w:sz w:val="21"/>
        </w:rPr>
        <w:t>[Filed Emergency ARC 0034D, IAB 2/4/26, effective 1/12/26]</w:t>
      </w:r>
    </w:p>
    <w:sectPr>
      <w:footerReference r:id="rId14"/>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21.pdf" Type="http://schemas.openxmlformats.org/officeDocument/2006/relationships/hyperlink" Id="rId5"/>
    <Relationship TargetMode="External" Target="https://www.legis.iowa.gov/docs/ico/chapter/84A.1.pdf" Type="http://schemas.openxmlformats.org/officeDocument/2006/relationships/hyperlink" Id="rId6"/>
    <Relationship TargetMode="External" Target="https://www.legis.iowa.gov/docs/ico/chapter/260C.pdf" Type="http://schemas.openxmlformats.org/officeDocument/2006/relationships/hyperlink" Id="rId7"/>
    <Relationship TargetMode="External" Target="https://www.legis.iowa.gov/docs/ico/chapter/84A.1.pdf" Type="http://schemas.openxmlformats.org/officeDocument/2006/relationships/hyperlink" Id="rId8"/>
    <Relationship TargetMode="External" Target="https://www.legis.iowa.gov/docs/ico/chapter/15E.52.pdf" Type="http://schemas.openxmlformats.org/officeDocument/2006/relationships/hyperlink" Id="rId9"/>
    <Relationship TargetMode="External" Target="https://www.legis.iowa.gov/docs/iac/rule/871.69.7.pdf" Type="http://schemas.openxmlformats.org/officeDocument/2006/relationships/hyperlink" Id="rId10"/>
    <Relationship TargetMode="External" Target="http://www.workforce.iowa.gov" Type="http://schemas.openxmlformats.org/officeDocument/2006/relationships/hyperlink" Id="rId11"/>
    <Relationship TargetMode="External" Target="https://www.legis.iowa.gov/docs/iac/rule/871.69.12.pdf" Type="http://schemas.openxmlformats.org/officeDocument/2006/relationships/hyperlink" Id="rId12"/>
    <Relationship TargetMode="External" Target="https://www.legis.iowa.gov/docs/ico/chapter/84A.2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