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FUTURE READY IOWA REGISTERED APPRENTICESHIP DEVELOPMENT FUND</w:t>
      </w:r>
    </w:p>
    <w:p>
      <w:pPr>
        <w:spacing w:before="0" w:after="0"/>
        <w:ind w:left="120"/>
        <w:jc w:val="center"/>
      </w:pPr>
      <w:r>
        <w:rPr>
          <w:rFonts w:ascii="Times New Roman" w:hAnsi="Times New Roman"/>
          <w:b w:val="false"/>
          <w:i w:val="false"/>
          <w:color w:val="000000"/>
          <w:sz w:val="14"/>
        </w:rPr>
        <w:t>[Prior to 10/18/23, see Economic Development Authority[261] Ch 13]</w:t>
      </w:r>
    </w:p>
    <w:p>
      <w:pPr>
        <w:spacing w:before="0" w:after="0"/>
        <w:ind w:left="120"/>
        <w:jc w:val="center"/>
      </w:pPr>
      <w:r>
        <w:rPr>
          <w:rFonts w:ascii="Times New Roman" w:hAnsi="Times New Roman"/>
          <w:b w:val="false"/>
          <w:i w:val="false"/>
          <w:color w:val="000000"/>
          <w:sz w:val="14"/>
        </w:rPr>
        <w:t>[Prior to 5/14/25, see Workforce Development Board, State[877]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12/3/30</w:t>
      </w:r>
    </w:p>
    <w:p>
      <w:pPr>
        <w:spacing w:before="0" w:after="0"/>
        <w:ind w:left="120"/>
        <w:jc w:val="both"/>
      </w:pPr>
      <w:r>
        <w:rPr>
          <w:rFonts w:ascii="Times New Roman" w:hAnsi="Times New Roman"/>
          <w:b/>
          <w:i w:val="false"/>
          <w:color w:val="000000"/>
          <w:sz w:val="22"/>
        </w:rPr>
        <w:t>871—66.1</w:t>
      </w:r>
      <w:r>
        <w:rPr>
          <w:rFonts w:ascii="Times New Roman" w:hAnsi="Times New Roman"/>
          <w:b/>
          <w:i w:val="false"/>
          <w:color w:val="000000"/>
          <w:sz w:val="22"/>
        </w:rPr>
        <w:t xml:space="preserve">(84F)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84A.5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84F.1</w:t>
        </w:r>
      </w:hyperlink>
      <w:r>
        <w:rPr>
          <w:rFonts w:ascii="Times New Roman" w:hAnsi="Times New Roman"/>
          <w:b w:val="false"/>
          <w:i w:val="false"/>
          <w:color w:val="000000"/>
          <w:sz w:val="22"/>
        </w:rPr>
        <w:t>, the department is directed to establish a future ready Iowa registered apprenticeship development fund for the purpose of providing financial assistance to incentivize small and medium-sized apprenticeship sponsors to establish new or additional eligible apprenticeable occupations in the apprenticeship sponsor’s apprenticeship program in order to support the growth of apprenticeship programs and expand high-quality work-based learning experiences in high-demand fields and careers for persons who are employed in eligible apprenticeable occupations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871—66.2</w:t>
      </w:r>
      <w:r>
        <w:rPr>
          <w:rFonts w:ascii="Times New Roman" w:hAnsi="Times New Roman"/>
          <w:b/>
          <w:i w:val="false"/>
          <w:color w:val="000000"/>
          <w:sz w:val="22"/>
        </w:rPr>
        <w:t xml:space="preserve">(84F)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unless the context otherwise requires, the following definitions apply. More definitions can be found in Iowa Code section </w:t>
      </w:r>
      <w:hyperlink r:id="rId7">
        <w:r>
          <w:rPr>
            <w:rStyle w:val="Hyperlink"/>
            <w:rFonts w:ascii="Times New Roman" w:hAnsi="Times New Roman"/>
            <w:b w:val="false"/>
            <w:i w:val="false"/>
            <w:color w:val="000000"/>
            <w:sz w:val="22"/>
          </w:rPr>
          <w:t>84F.1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workforce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871—66.3</w:t>
      </w:r>
      <w:r>
        <w:rPr>
          <w:rFonts w:ascii="Times New Roman" w:hAnsi="Times New Roman"/>
          <w:b/>
          <w:i w:val="false"/>
          <w:color w:val="000000"/>
          <w:sz w:val="22"/>
        </w:rPr>
        <w:t xml:space="preserve">(84F)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provides financial assistance in the form of reimbursement grants to support the costs associated with establishing a registered apprenticeship program or adding additional apprenticeable occupations to an applicant’s registered apprenticeship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grant per applicant per year shall not exceed 50 percent of the apprenticeable occupation budget. The maximum amount awarded to an applicant for any one application per fiscal year shall not exceed $25,000. The aggregate maximum amount that may be awarded to any one applicant per fiscal year for an aggregate number of applications shall not exceed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will apply for grant funding based on activities during the calendar year prior to the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applications and other filings related to the program shall be on such forms and in accordance with such instructions as may be established by the department’s Notice of Funding Opportunity.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between January 1 and February 1 of each calendar year following the start of the fiscal year. The department may adjust these dates under extenuating circumstances and will notify affected parties. The department may add a funding window if available funds are not exhausted during the initial submission window and will publish such application dates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66.3(3)</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If the amount of funding requested by eligible applicants exceeds the amount of funding available to the department in any given fiscal year, department staff will make recommendations to the director as to allocation of available funding. The department may deny applications for incompleteness or because of insufficient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871—66.4</w:t>
      </w:r>
      <w:r>
        <w:rPr>
          <w:rFonts w:ascii="Times New Roman" w:hAnsi="Times New Roman"/>
          <w:b/>
          <w:i w:val="false"/>
          <w:color w:val="000000"/>
          <w:sz w:val="22"/>
        </w:rPr>
        <w:t xml:space="preserve">(84F) </w:t>
      </w:r>
      <w:r>
        <w:rPr>
          <w:rFonts w:ascii="Times New Roman" w:hAnsi="Times New Roman"/>
          <w:b/>
          <w:i w:val="false"/>
          <w:color w:val="000000"/>
          <w:sz w:val="22"/>
        </w:rPr>
        <w:t xml:space="preserve">Program eligibility, application scoring, and awards.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considered for an award under this program, an apprenticeship program sponsor must meet the following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apprenticeship sponsor established a new eligible apprenticeable occupation or added an eligible apprenticeable occupation to the apprenticeship sponsor’s existing apprenticeship program in the calendar year prior to the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requirements as set out in Iowa Code section </w:t>
      </w:r>
      <w:hyperlink r:id="rId8">
        <w:r>
          <w:rPr>
            <w:rStyle w:val="Hyperlink"/>
            <w:rFonts w:ascii="Times New Roman" w:hAnsi="Times New Roman"/>
            <w:b w:val="false"/>
            <w:i w:val="false"/>
            <w:color w:val="000000"/>
            <w:sz w:val="22"/>
          </w:rPr>
          <w:t>84F.1(3)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apprenticeship sponsor receiving financial assistance under Iowa Code chapter </w:t>
      </w:r>
      <w:hyperlink r:id="rId9">
        <w:r>
          <w:rPr>
            <w:rStyle w:val="Hyperlink"/>
            <w:rFonts w:ascii="Times New Roman" w:hAnsi="Times New Roman"/>
            <w:b w:val="false"/>
            <w:i w:val="false"/>
            <w:color w:val="000000"/>
            <w:sz w:val="22"/>
          </w:rPr>
          <w:t>84E</w:t>
        </w:r>
      </w:hyperlink>
      <w:r>
        <w:rPr>
          <w:rFonts w:ascii="Times New Roman" w:hAnsi="Times New Roman"/>
          <w:b w:val="false"/>
          <w:i w:val="false"/>
          <w:color w:val="000000"/>
          <w:sz w:val="22"/>
        </w:rPr>
        <w:t xml:space="preserve"> or section </w:t>
      </w:r>
      <w:hyperlink r:id="rId10">
        <w:r>
          <w:rPr>
            <w:rStyle w:val="Hyperlink"/>
            <w:rFonts w:ascii="Times New Roman" w:hAnsi="Times New Roman"/>
            <w:b w:val="false"/>
            <w:i w:val="false"/>
            <w:color w:val="000000"/>
            <w:sz w:val="22"/>
          </w:rPr>
          <w:t>84F.2</w:t>
        </w:r>
      </w:hyperlink>
      <w:r>
        <w:rPr>
          <w:rFonts w:ascii="Times New Roman" w:hAnsi="Times New Roman"/>
          <w:b w:val="false"/>
          <w:i w:val="false"/>
          <w:color w:val="000000"/>
          <w:sz w:val="22"/>
        </w:rPr>
        <w:t xml:space="preserve"> is ineligible for financial assistance under this chapter during the same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Applications for financial assistance under the program shall be reviewed and scored as described below. To be considered eligible for funding, an application must receive a minimum score of 65 out of a possible 100 points and meet all other eligibility criteria specified in these rules. If an applicant does not meet all eligibility requirements, the application will not be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Budget and costs. </w:t>
      </w:r>
      <w:r>
        <w:rPr>
          <w:rFonts w:ascii="Times New Roman" w:hAnsi="Times New Roman"/>
          <w:b w:val="false"/>
          <w:i w:val="false"/>
          <w:color w:val="000000"/>
          <w:sz w:val="22"/>
        </w:rPr>
        <w:t>The extent to which the applicant’s budget and estimated or real program costs are based on industry standards for the eligible occupation.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of financial assistance. </w:t>
      </w:r>
      <w:r>
        <w:rPr>
          <w:rFonts w:ascii="Times New Roman" w:hAnsi="Times New Roman"/>
          <w:b w:val="false"/>
          <w:i w:val="false"/>
          <w:color w:val="000000"/>
          <w:sz w:val="22"/>
        </w:rPr>
        <w:t>The applicant has provided specific details regarding the use of funding and how it will be applied. (maximum 30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Local support. </w:t>
      </w:r>
      <w:r>
        <w:rPr>
          <w:rFonts w:ascii="Times New Roman" w:hAnsi="Times New Roman"/>
          <w:b w:val="false"/>
          <w:i w:val="false"/>
          <w:color w:val="000000"/>
          <w:sz w:val="22"/>
        </w:rPr>
        <w:t>The applicant has provided documentation of local support from area partners, such as schools, local government entities, and other employers, that may benefit from the apprenticeship program.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funding. </w:t>
      </w:r>
      <w:r>
        <w:rPr>
          <w:rFonts w:ascii="Times New Roman" w:hAnsi="Times New Roman"/>
          <w:b w:val="false"/>
          <w:i w:val="false"/>
          <w:color w:val="000000"/>
          <w:sz w:val="22"/>
        </w:rPr>
        <w:t>The department will take into consideration sources of funding for establishing an apprenticeable occupation. Scores will be based on whether the source of funding is public or private, whether the funding is repayable, and the proportion of internal funding to funding from other sources. Higher scores will be awarded if the source of funding is a private entity, if the funding is repayable, and if the amount of internal funding is more than 50 percent of funding needed to establish the apprenticeable occupation.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worker safety. </w:t>
      </w:r>
      <w:r>
        <w:rPr>
          <w:rFonts w:ascii="Times New Roman" w:hAnsi="Times New Roman"/>
          <w:b w:val="false"/>
          <w:i w:val="false"/>
          <w:color w:val="000000"/>
          <w:sz w:val="22"/>
        </w:rPr>
        <w:t>The applicant has not violated state or federal statutes, rules or regulations, including environmental and worker safety regulations, or if such violations have occurred, the violations have been addressed and mitigated.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employment at an Iowa work site. </w:t>
      </w:r>
      <w:r>
        <w:rPr>
          <w:rFonts w:ascii="Times New Roman" w:hAnsi="Times New Roman"/>
          <w:b w:val="false"/>
          <w:i w:val="false"/>
          <w:color w:val="000000"/>
          <w:sz w:val="22"/>
        </w:rPr>
        <w:t>The applicant has certified that the apprentices identified by their U.S. Department of Labor identification numbers and represented in the application are registered with the applying sponsor or lead sponsor’s registered apprenticeship program and that each apprentice listed worked some time in Iowa during the prior calendar year. (maximum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awards. </w:t>
      </w:r>
      <w:r>
        <w:rPr>
          <w:rFonts w:ascii="Times New Roman" w:hAnsi="Times New Roman"/>
          <w:b w:val="false"/>
          <w:i w:val="false"/>
          <w:color w:val="000000"/>
          <w:sz w:val="22"/>
        </w:rPr>
        <w:t>The director will make final funding decisions after considering the recommendations of staff. Successful applicants will be notified in writing of an award of financial assistance, including the conditions and terms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The department will disburse funds to a successful applicant only after approval of a completed application and execution of an agreement between the applicant and the department pursuant to this chapter. Prior to disbursement of funds, the applicant must provide the department with confirmation of expenses detailed in the applicant’s budget and the department must confirm that all terms for financial assistance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of financial assistance. </w:t>
      </w:r>
      <w:r>
        <w:rPr>
          <w:rFonts w:ascii="Times New Roman" w:hAnsi="Times New Roman"/>
          <w:b w:val="false"/>
          <w:i w:val="false"/>
          <w:color w:val="000000"/>
          <w:sz w:val="22"/>
        </w:rPr>
        <w:t>The department will provide financial assistance in the form of a grant to the applicant. The amount of the grant and any other terms shall be included in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An applicant shall use funds only for reimbursement of the costs directly related to the project. The department may require documentation or other information establishing the actual costs incurred for a project. Failure to use the funds for reimbursement of the costs directly related to a project shall be grounds for default under the agreement required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871—66.5</w:t>
      </w:r>
      <w:r>
        <w:rPr>
          <w:rFonts w:ascii="Times New Roman" w:hAnsi="Times New Roman"/>
          <w:b/>
          <w:i w:val="false"/>
          <w:color w:val="000000"/>
          <w:sz w:val="22"/>
        </w:rPr>
        <w:t xml:space="preserve">(84F) </w:t>
      </w:r>
      <w:r>
        <w:rPr>
          <w:rFonts w:ascii="Times New Roman" w:hAnsi="Times New Roman"/>
          <w:b/>
          <w:i w:val="false"/>
          <w:color w:val="000000"/>
          <w:sz w:val="22"/>
        </w:rPr>
        <w:t xml:space="preserve">Agreement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department for the provision of such financial assistance. The agreement will establish the terms on which the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66.5(2)</w:t>
      </w:r>
      <w:r>
        <w:rPr>
          <w:rFonts w:ascii="Times New Roman" w:hAnsi="Times New Roman"/>
          <w:b w:val="false"/>
          <w:i w:val="false"/>
          <w:color w:val="000000"/>
          <w:sz w:val="22"/>
        </w:rPr>
        <w:t> </w:t>
      </w:r>
      <w:r>
        <w:rPr>
          <w:rFonts w:ascii="Times New Roman" w:hAnsi="Times New Roman"/>
          <w:b w:val="false"/>
          <w:i w:val="false"/>
          <w:color w:val="000000"/>
          <w:sz w:val="22"/>
        </w:rPr>
        <w:t>The department and the applicant may amend the agreement at any time upon the mutual agreement of both the department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66.5(3)</w:t>
      </w:r>
      <w:r>
        <w:rPr>
          <w:rFonts w:ascii="Times New Roman" w:hAnsi="Times New Roman"/>
          <w:b w:val="false"/>
          <w:i w:val="false"/>
          <w:color w:val="000000"/>
          <w:sz w:val="22"/>
        </w:rPr>
        <w:t> </w:t>
      </w:r>
      <w:r>
        <w:rPr>
          <w:rFonts w:ascii="Times New Roman" w:hAnsi="Times New Roman"/>
          <w:b w:val="false"/>
          <w:i w:val="false"/>
          <w:color w:val="000000"/>
          <w:sz w:val="22"/>
        </w:rPr>
        <w:t>The agreement may require an applicant that has been approved for financial assistance under the program to submit information reasonably required by the department to make reports to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9656C</w:t>
      </w:r>
      <w:r>
        <w:rPr>
          <w:rFonts w:ascii="Times New Roman" w:hAnsi="Times New Roman"/>
          <w:b w:val="false"/>
          <w:i w:val="false"/>
          <w:color w:val="000000"/>
          <w:sz w:val="16"/>
        </w:rPr>
        <w:t>, IAB 10/29/25, effective 12/3/25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84F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4110C</w:t>
      </w:r>
      <w:r>
        <w:rPr>
          <w:rFonts w:ascii="Times New Roman" w:hAnsi="Times New Roman"/>
          <w:b w:val="false"/>
          <w:i w:val="false"/>
          <w:color w:val="000000"/>
          <w:sz w:val="21"/>
        </w:rPr>
        <w:t xml:space="preserve"> (Notice ARC 3897C, IAB 7/18/18)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5480C</w:t>
      </w:r>
      <w:r>
        <w:rPr>
          <w:rFonts w:ascii="Times New Roman" w:hAnsi="Times New Roman"/>
          <w:b w:val="false"/>
          <w:i w:val="false"/>
          <w:color w:val="000000"/>
          <w:sz w:val="21"/>
        </w:rPr>
        <w:t xml:space="preserve"> (Notice ARC 5279C, IAB 11/18/20)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[Filed ARC 9656C</w:t>
      </w:r>
      <w:r>
        <w:rPr>
          <w:rFonts w:ascii="Times New Roman" w:hAnsi="Times New Roman"/>
          <w:b w:val="false"/>
          <w:i w:val="false"/>
          <w:color w:val="000000"/>
          <w:sz w:val="21"/>
        </w:rPr>
        <w:t xml:space="preserve"> (Notice ARC 9529C, IAB 9/3/25)</w:t>
      </w:r>
      <w:r>
        <w:rPr>
          <w:rFonts w:ascii="Times New Roman" w:hAnsi="Times New Roman"/>
          <w:b w:val="false"/>
          <w:i w:val="false"/>
          <w:color w:val="000000"/>
          <w:sz w:val="21"/>
        </w:rPr>
        <w:t>, IAB 10/29/25, effective 12/3/25]</w:t>
      </w:r>
    </w:p>
    <w:sectPr>
      <w:footerReference r:id="rId12"/>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5.pdf" Type="http://schemas.openxmlformats.org/officeDocument/2006/relationships/hyperlink" Id="rId5"/>
    <Relationship TargetMode="External" Target="https://www.legis.iowa.gov/docs/ico/chapter/84F.1.pdf" Type="http://schemas.openxmlformats.org/officeDocument/2006/relationships/hyperlink" Id="rId6"/>
    <Relationship TargetMode="External" Target="https://www.legis.iowa.gov/docs/ico/chapter/84F.1.pdf" Type="http://schemas.openxmlformats.org/officeDocument/2006/relationships/hyperlink" Id="rId7"/>
    <Relationship TargetMode="External" Target="https://www.legis.iowa.gov/docs/ico/chapter/84F.1.pdf" Type="http://schemas.openxmlformats.org/officeDocument/2006/relationships/hyperlink" Id="rId8"/>
    <Relationship TargetMode="External" Target="https://www.legis.iowa.gov/docs/ico/chapter/84E.pdf" Type="http://schemas.openxmlformats.org/officeDocument/2006/relationships/hyperlink" Id="rId9"/>
    <Relationship TargetMode="External" Target="https://www.legis.iowa.gov/docs/ico/chapter/84F.2.pdf" Type="http://schemas.openxmlformats.org/officeDocument/2006/relationships/hyperlink" Id="rId10"/>
    <Relationship TargetMode="External" Target="https://www.legis.iowa.gov/docs/ico/chapter/84F.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