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64</w:t>
      </w:r>
    </w:p>
    <w:p>
      <w:pPr>
        <w:spacing w:before="0" w:after="0"/>
        <w:ind w:left="120"/>
        <w:jc w:val="center"/>
      </w:pPr>
      <w:r>
        <w:rPr>
          <w:rFonts w:ascii="Times New Roman" w:hAnsi="Times New Roman"/>
          <w:b w:val="false"/>
          <w:i w:val="false"/>
          <w:color w:val="000000"/>
          <w:sz w:val="21"/>
        </w:rPr>
        <w:t>WORKFORCE DEVELOPMENT FUND</w:t>
      </w:r>
    </w:p>
    <w:p>
      <w:pPr>
        <w:spacing w:before="0" w:after="0"/>
        <w:ind w:left="120"/>
        <w:jc w:val="center"/>
      </w:pPr>
      <w:r>
        <w:rPr>
          <w:rFonts w:ascii="Times New Roman" w:hAnsi="Times New Roman"/>
          <w:b w:val="false"/>
          <w:i w:val="false"/>
          <w:color w:val="000000"/>
          <w:sz w:val="14"/>
        </w:rPr>
        <w:t>[Prior to 9/6/00, see 261—Ch 75]</w:t>
      </w:r>
      <w:r>
        <w:br/>
      </w:r>
    </w:p>
    <w:p>
      <w:pPr>
        <w:spacing w:before="0" w:after="0"/>
        <w:ind w:left="120"/>
        <w:jc w:val="center"/>
      </w:pPr>
      <w:r>
        <w:rPr>
          <w:rFonts w:ascii="Times New Roman" w:hAnsi="Times New Roman"/>
          <w:b w:val="false"/>
          <w:i w:val="false"/>
          <w:color w:val="000000"/>
          <w:sz w:val="14"/>
        </w:rPr>
        <w:t>[Prior to 10/18/23, see Economic Development Authority[261] Ch 8]</w:t>
      </w:r>
    </w:p>
    <w:p>
      <w:pPr>
        <w:spacing w:before="0" w:after="0"/>
        <w:ind w:left="120"/>
        <w:jc w:val="center"/>
      </w:pPr>
      <w:r>
        <w:rPr>
          <w:rFonts w:ascii="Times New Roman" w:hAnsi="Times New Roman"/>
          <w:b w:val="false"/>
          <w:i w:val="false"/>
          <w:color w:val="000000"/>
          <w:sz w:val="14"/>
        </w:rPr>
        <w:t>[Prior to 5/14/25, see Workforce Development Board, State[877] Ch 18]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12/17/30</w:t>
      </w:r>
    </w:p>
    <w:p>
      <w:pPr>
        <w:spacing w:before="0" w:after="0"/>
        <w:ind w:left="120"/>
        <w:jc w:val="both"/>
      </w:pPr>
      <w:r>
        <w:rPr>
          <w:rFonts w:ascii="Times New Roman" w:hAnsi="Times New Roman"/>
          <w:b/>
          <w:i w:val="false"/>
          <w:color w:val="000000"/>
          <w:sz w:val="22"/>
        </w:rPr>
        <w:t>871—64.1</w:t>
      </w:r>
      <w:r>
        <w:rPr>
          <w:rFonts w:ascii="Times New Roman" w:hAnsi="Times New Roman"/>
          <w:b/>
          <w:i w:val="false"/>
          <w:color w:val="000000"/>
          <w:sz w:val="22"/>
        </w:rPr>
        <w:t xml:space="preserve">(15,76GA,ch1180)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the workforce development fund is to provide revenue for programs that address the workforce development needs of the state. Moneys are appropriated to the fund from the workforce development fund account and are to be used for projects under Iowa Code chapter </w:t>
      </w:r>
      <w:hyperlink r:id="rId5">
        <w:r>
          <w:rPr>
            <w:rStyle w:val="Hyperlink"/>
            <w:rFonts w:ascii="Times New Roman" w:hAnsi="Times New Roman"/>
            <w:b w:val="false"/>
            <w:i w:val="false"/>
            <w:color w:val="000000"/>
            <w:sz w:val="22"/>
          </w:rPr>
          <w:t>260F</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9718C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871—64.2</w:t>
      </w:r>
      <w:r>
        <w:rPr>
          <w:rFonts w:ascii="Times New Roman" w:hAnsi="Times New Roman"/>
          <w:b/>
          <w:i w:val="false"/>
          <w:color w:val="000000"/>
          <w:sz w:val="22"/>
        </w:rPr>
        <w:t xml:space="preserve">(15,76GA,ch1180)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an informal agreement between the department and a grantee that authorizes expenditure of a workforce development fund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means a formal agreement executed by the department and a grantee for purposes of operating a program under the workforce development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“IWD” </w:t>
      </w:r>
      <w:r>
        <w:rPr>
          <w:rFonts w:ascii="Times New Roman" w:hAnsi="Times New Roman"/>
          <w:b w:val="false"/>
          <w:i w:val="false"/>
          <w:color w:val="000000"/>
          <w:sz w:val="22"/>
        </w:rPr>
        <w:t>means Iowa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Iowa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“Grantee” </w:t>
      </w:r>
      <w:r>
        <w:rPr>
          <w:rFonts w:ascii="Times New Roman" w:hAnsi="Times New Roman"/>
          <w:b w:val="false"/>
          <w:i w:val="false"/>
          <w:color w:val="000000"/>
          <w:sz w:val="22"/>
        </w:rPr>
        <w:t>means any entity receiving a workforce development fund award from Iowa workforce development.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9718C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871—64.3</w:t>
      </w:r>
      <w:r>
        <w:rPr>
          <w:rFonts w:ascii="Times New Roman" w:hAnsi="Times New Roman"/>
          <w:b/>
          <w:i w:val="false"/>
          <w:color w:val="000000"/>
          <w:sz w:val="22"/>
        </w:rPr>
        <w:t xml:space="preserve">(15,76GA,ch1180) </w:t>
      </w:r>
      <w:r>
        <w:rPr>
          <w:rFonts w:ascii="Times New Roman" w:hAnsi="Times New Roman"/>
          <w:b/>
          <w:i w:val="false"/>
          <w:color w:val="000000"/>
          <w:sz w:val="22"/>
        </w:rPr>
        <w:t xml:space="preserve">Workforce development fund account. </w:t>
      </w:r>
      <w:r>
        <w:rPr>
          <w:rFonts w:ascii="Times New Roman" w:hAnsi="Times New Roman"/>
          <w:b w:val="false"/>
          <w:i w:val="false"/>
          <w:color w:val="000000"/>
          <w:sz w:val="22"/>
        </w:rPr>
        <w:t xml:space="preserve">A workforce development fund account is established in the office of the treasurer of state under control of the department. Upon payment in full of a certificate of participation or other obligation issued to fund a job training program under Iowa Code chapter </w:t>
      </w:r>
      <w:hyperlink r:id="rId6">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including a certificate of participation repaid in whole or in part by the supplemental new jobs credit from withholding under Iowa Code section </w:t>
      </w:r>
      <w:hyperlink r:id="rId7">
        <w:r>
          <w:rPr>
            <w:rStyle w:val="Hyperlink"/>
            <w:rFonts w:ascii="Times New Roman" w:hAnsi="Times New Roman"/>
            <w:b w:val="false"/>
            <w:i w:val="false"/>
            <w:color w:val="000000"/>
            <w:sz w:val="22"/>
          </w:rPr>
          <w:t>260J.1</w:t>
        </w:r>
      </w:hyperlink>
      <w:r>
        <w:rPr>
          <w:rFonts w:ascii="Times New Roman" w:hAnsi="Times New Roman"/>
          <w:b w:val="false"/>
          <w:i w:val="false"/>
          <w:color w:val="000000"/>
          <w:sz w:val="22"/>
        </w:rPr>
        <w:t xml:space="preserve">, the community college providing the job training program will notify the department of the amount paid by the employer or business to the community college to retire the certificate during the last 12 months of withholding collections. The department will notify the department of revenue of that amount. The department of revenue will then credit to the workforce development fund account, established in Iowa Code section </w:t>
      </w:r>
      <w:hyperlink r:id="rId8">
        <w:r>
          <w:rPr>
            <w:rStyle w:val="Hyperlink"/>
            <w:rFonts w:ascii="Times New Roman" w:hAnsi="Times New Roman"/>
            <w:b w:val="false"/>
            <w:i w:val="false"/>
            <w:color w:val="000000"/>
            <w:sz w:val="22"/>
          </w:rPr>
          <w:t>84G.3</w:t>
        </w:r>
      </w:hyperlink>
      <w:r>
        <w:rPr>
          <w:rFonts w:ascii="Times New Roman" w:hAnsi="Times New Roman"/>
          <w:b w:val="false"/>
          <w:i w:val="false"/>
          <w:color w:val="000000"/>
          <w:sz w:val="22"/>
        </w:rPr>
        <w:t>, 25 percent of that amount each quarter for a period of ten years. If the amount of withholding from the business or employer is insufficient, the department will prorate the quarterly amount credited to the workforce development fund account. The maximum amount from all employers that will be transferred to the workforce development fund account in any year is $7,750,000. The legislature will make an annual appropriation from the workforce development fund account to the workforce development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9718C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871—64.4</w:t>
      </w:r>
      <w:r>
        <w:rPr>
          <w:rFonts w:ascii="Times New Roman" w:hAnsi="Times New Roman"/>
          <w:b/>
          <w:i w:val="false"/>
          <w:color w:val="000000"/>
          <w:sz w:val="22"/>
        </w:rPr>
        <w:t xml:space="preserve">(15,76GA,ch1180) </w:t>
      </w:r>
      <w:r>
        <w:rPr>
          <w:rFonts w:ascii="Times New Roman" w:hAnsi="Times New Roman"/>
          <w:b/>
          <w:i w:val="false"/>
          <w:color w:val="000000"/>
          <w:sz w:val="22"/>
        </w:rPr>
        <w:t xml:space="preserve">Workforce development fund allocation. </w:t>
      </w:r>
      <w:r>
        <w:rPr>
          <w:rFonts w:ascii="Times New Roman" w:hAnsi="Times New Roman"/>
          <w:b w:val="false"/>
          <w:i w:val="false"/>
          <w:color w:val="000000"/>
          <w:sz w:val="22"/>
        </w:rPr>
        <w:t xml:space="preserve">The director will submit a copy of the proposed allocation of funds from the workforce development fund to be made for the next fiscal year for the programs and purposes intended to the chairpersons of the joint economic development appropriations subcommittee of the general assembly. Notwithstanding Iowa Code section </w:t>
      </w:r>
      <w:hyperlink r:id="rId9">
        <w:r>
          <w:rPr>
            <w:rStyle w:val="Hyperlink"/>
            <w:rFonts w:ascii="Times New Roman" w:hAnsi="Times New Roman"/>
            <w:b w:val="false"/>
            <w:i w:val="false"/>
            <w:color w:val="000000"/>
            <w:sz w:val="22"/>
          </w:rPr>
          <w:t>8.39</w:t>
        </w:r>
      </w:hyperlink>
      <w:r>
        <w:rPr>
          <w:rFonts w:ascii="Times New Roman" w:hAnsi="Times New Roman"/>
          <w:b w:val="false"/>
          <w:i w:val="false"/>
          <w:color w:val="000000"/>
          <w:sz w:val="22"/>
        </w:rPr>
        <w:t>, the plan may provide for increased or decreased allocations if the demand for a program indicates that the need is greater or lesser than the allocation for that program. Workforce development funds are received quarterly. The sequence in which the funds are allocated to the various programs under the workforce development fund will be determined by the department based upon the demand for the respective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9718C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871—64.5</w:t>
      </w:r>
      <w:r>
        <w:rPr>
          <w:rFonts w:ascii="Times New Roman" w:hAnsi="Times New Roman"/>
          <w:b/>
          <w:i w:val="false"/>
          <w:color w:val="000000"/>
          <w:sz w:val="22"/>
        </w:rPr>
        <w:t xml:space="preserve">(15,76GA,ch1180) </w:t>
      </w:r>
      <w:r>
        <w:rPr>
          <w:rFonts w:ascii="Times New Roman" w:hAnsi="Times New Roman"/>
          <w:b/>
          <w:i w:val="false"/>
          <w:color w:val="000000"/>
          <w:sz w:val="22"/>
        </w:rPr>
        <w:t xml:space="preserve">Workforce development fund reporting. </w:t>
      </w:r>
      <w:r>
        <w:rPr>
          <w:rFonts w:ascii="Times New Roman" w:hAnsi="Times New Roman"/>
          <w:b w:val="false"/>
          <w:i w:val="false"/>
          <w:color w:val="000000"/>
          <w:sz w:val="22"/>
        </w:rPr>
        <w:t>The director will provide annual reports to the legislative services agency on the status of the funds. Unobligated and unencumbered moneys remaining in the workforce development fund or any of its accounts on June 30 of each year will be considered part of the fund for purposes of the next year’s allocation.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9718C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260F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8/23/96—published 9/11/96, effective 8/23/96]</w:t>
      </w:r>
    </w:p>
    <w:p>
      <w:pPr>
        <w:spacing w:before="0" w:after="0"/>
        <w:ind w:left="120"/>
        <w:jc w:val="center"/>
      </w:pPr>
      <w:r>
        <w:rPr>
          <w:rFonts w:ascii="Times New Roman" w:hAnsi="Times New Roman"/>
          <w:b w:val="false"/>
          <w:i w:val="false"/>
          <w:color w:val="000000"/>
          <w:sz w:val="21"/>
        </w:rPr>
        <w:t>[Filed 10/18/96, Notice 9/11/96—published 11/6/96, effective 12/11/96]</w:t>
      </w:r>
    </w:p>
    <w:p>
      <w:pPr>
        <w:spacing w:before="0" w:after="0"/>
        <w:ind w:left="120"/>
        <w:jc w:val="center"/>
      </w:pPr>
      <w:r>
        <w:rPr>
          <w:rFonts w:ascii="Times New Roman" w:hAnsi="Times New Roman"/>
          <w:b w:val="false"/>
          <w:i w:val="false"/>
          <w:color w:val="000000"/>
          <w:sz w:val="21"/>
        </w:rPr>
        <w:t>[Filed without Notice 8/18/00—published 9/6/00, effective 10/11/00]</w:t>
      </w:r>
    </w:p>
    <w:p>
      <w:pPr>
        <w:spacing w:before="0" w:after="0"/>
        <w:ind w:left="120"/>
        <w:jc w:val="center"/>
      </w:pPr>
      <w:r>
        <w:rPr>
          <w:rFonts w:ascii="Times New Roman" w:hAnsi="Times New Roman"/>
          <w:b w:val="false"/>
          <w:i w:val="false"/>
          <w:color w:val="000000"/>
          <w:sz w:val="21"/>
        </w:rPr>
        <w:t>[Filed ARC 3383C</w:t>
      </w:r>
      <w:r>
        <w:rPr>
          <w:rFonts w:ascii="Times New Roman" w:hAnsi="Times New Roman"/>
          <w:b w:val="false"/>
          <w:i w:val="false"/>
          <w:color w:val="000000"/>
          <w:sz w:val="21"/>
        </w:rPr>
        <w:t xml:space="preserve"> (Notice ARC 2995C, IAB 3/29/17)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[Editorial change: IAC Supplement 5/14/25]</w:t>
      </w:r>
    </w:p>
    <w:p>
      <w:pPr>
        <w:spacing w:before="0" w:after="0"/>
        <w:ind w:left="120"/>
        <w:jc w:val="center"/>
      </w:pPr>
      <w:r>
        <w:rPr>
          <w:rFonts w:ascii="Times New Roman" w:hAnsi="Times New Roman"/>
          <w:b w:val="false"/>
          <w:i w:val="false"/>
          <w:color w:val="000000"/>
          <w:sz w:val="21"/>
        </w:rPr>
        <w:t>[Filed ARC 9718C</w:t>
      </w:r>
      <w:r>
        <w:rPr>
          <w:rFonts w:ascii="Times New Roman" w:hAnsi="Times New Roman"/>
          <w:b w:val="false"/>
          <w:i w:val="false"/>
          <w:color w:val="000000"/>
          <w:sz w:val="21"/>
        </w:rPr>
        <w:t xml:space="preserve"> (Notice ARC 9542C, IAB 9/17/25)</w:t>
      </w:r>
      <w:r>
        <w:rPr>
          <w:rFonts w:ascii="Times New Roman" w:hAnsi="Times New Roman"/>
          <w:b w:val="false"/>
          <w:i w:val="false"/>
          <w:color w:val="000000"/>
          <w:sz w:val="21"/>
        </w:rPr>
        <w:t>, IAB 11/12/25, effective 12/17/25]</w:t>
      </w:r>
    </w:p>
    <w:sectPr>
      <w:footerReference r:id="rId11"/>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0F.pdf" Type="http://schemas.openxmlformats.org/officeDocument/2006/relationships/hyperlink" Id="rId5"/>
    <Relationship TargetMode="External" Target="https://www.legis.iowa.gov/docs/ico/chapter/260E.pdf" Type="http://schemas.openxmlformats.org/officeDocument/2006/relationships/hyperlink" Id="rId6"/>
    <Relationship TargetMode="External" Target="https://www.legis.iowa.gov/docs/ico/chapter/260J.1.pdf" Type="http://schemas.openxmlformats.org/officeDocument/2006/relationships/hyperlink" Id="rId7"/>
    <Relationship TargetMode="External" Target="https://www.legis.iowa.gov/docs/ico/chapter/84G.3.pdf" Type="http://schemas.openxmlformats.org/officeDocument/2006/relationships/hyperlink" Id="rId8"/>
    <Relationship TargetMode="External" Target="https://www.legis.iowa.gov/docs/ico/chapter/8.39.pdf" Type="http://schemas.openxmlformats.org/officeDocument/2006/relationships/hyperlink" Id="rId9"/>
    <Relationship TargetMode="External" Target="https://www.legis.iowa.gov/docs/ico/chapter/260F.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