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20"/>
        </w:rPr>
        <w:t>[Prior to 3/12/97 see Employment Services[341] Ch 2]</w:t>
      </w:r>
    </w:p>
    <w:p>
      <w:pPr>
        <w:spacing w:before="0" w:after="0"/>
        <w:ind w:left="120"/>
        <w:jc w:val="center"/>
      </w:pPr>
      <w:r>
        <w:rPr>
          <w:rFonts w:ascii="Times New Roman" w:hAnsi="Times New Roman"/>
          <w:b w:val="false"/>
          <w:i w:val="false"/>
          <w:color w:val="000000"/>
          <w:sz w:val="20"/>
        </w:rPr>
        <w:t>[Prior to 5/14/25, see Workforce Development Department[871] Ch 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871—3.1</w:t>
      </w:r>
      <w:r>
        <w:rPr>
          <w:rFonts w:ascii="Times New Roman" w:hAnsi="Times New Roman"/>
          <w:b/>
          <w:i w:val="false"/>
          <w:color w:val="000000"/>
          <w:sz w:val="22"/>
        </w:rPr>
        <w:t xml:space="preserve">(22,84A)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“the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individual, corporation, governmental entity, estate, trust, partnership, association, or any other legal entity.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“Personally identifiable information.”</w:t>
      </w:r>
      <w:r>
        <w:rPr>
          <w:rFonts w:ascii="Times New Roman" w:hAnsi="Times New Roman"/>
          <w:b w:val="false"/>
          <w:i w:val="false"/>
          <w:color w:val="000000"/>
          <w:sz w:val="22"/>
        </w:rPr>
        <w:t> </w:t>
      </w:r>
      <w:r>
        <w:rPr>
          <w:rFonts w:ascii="Times New Roman" w:hAnsi="Times New Roman"/>
          <w:b w:val="false"/>
          <w:i w:val="false"/>
          <w:color w:val="000000"/>
          <w:sz w:val="22"/>
        </w:rPr>
        <w:t>In lieu of the words “an individual in a record that identifies the individual and that is contained in a record system”, insert “a person in a record that identifies the person and that is contained in a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In lieu of the words “an individual, number, symbol, or other unique retriever assigned to an individual”, insert “a person, number, symbol or other unique retriever assigned to the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871—3.3</w:t>
      </w:r>
      <w:r>
        <w:rPr>
          <w:rFonts w:ascii="Times New Roman" w:hAnsi="Times New Roman"/>
          <w:b/>
          <w:i w:val="false"/>
          <w:color w:val="000000"/>
          <w:sz w:val="22"/>
        </w:rPr>
        <w:t xml:space="preserve">(22,84A) </w:t>
      </w:r>
      <w:r>
        <w:rPr>
          <w:rFonts w:ascii="Times New Roman" w:hAnsi="Times New Roman"/>
          <w:b/>
          <w:i w:val="false"/>
          <w:color w:val="000000"/>
          <w:sz w:val="22"/>
        </w:rPr>
        <w:t xml:space="preserve">Request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871—3.4</w:t>
      </w:r>
      <w:r>
        <w:rPr>
          <w:rFonts w:ascii="Times New Roman" w:hAnsi="Times New Roman"/>
          <w:b/>
          <w:i w:val="false"/>
          <w:color w:val="000000"/>
          <w:sz w:val="22"/>
        </w:rPr>
        <w:t xml:space="preserve">(22,84A)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871—3.6</w:t>
      </w:r>
      <w:r>
        <w:rPr>
          <w:rFonts w:ascii="Times New Roman" w:hAnsi="Times New Roman"/>
          <w:b/>
          <w:i w:val="false"/>
          <w:color w:val="000000"/>
          <w:sz w:val="22"/>
        </w:rPr>
        <w:t xml:space="preserve">(22,84A)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871—3.7</w:t>
      </w:r>
      <w:r>
        <w:rPr>
          <w:rFonts w:ascii="Times New Roman" w:hAnsi="Times New Roman"/>
          <w:b/>
          <w:i w:val="false"/>
          <w:color w:val="000000"/>
          <w:sz w:val="22"/>
        </w:rPr>
        <w:t xml:space="preserve">(22,84A) </w:t>
      </w:r>
      <w:r>
        <w:rPr>
          <w:rFonts w:ascii="Times New Roman" w:hAnsi="Times New Roman"/>
          <w:b/>
          <w:i w:val="false"/>
          <w:color w:val="000000"/>
          <w:sz w:val="22"/>
        </w:rPr>
        <w:t xml:space="preserve">Consent to disclosure by the subject of a confidential record.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871—3.9</w:t>
      </w:r>
      <w:r>
        <w:rPr>
          <w:rFonts w:ascii="Times New Roman" w:hAnsi="Times New Roman"/>
          <w:b/>
          <w:i w:val="false"/>
          <w:color w:val="000000"/>
          <w:sz w:val="22"/>
        </w:rPr>
        <w:t xml:space="preserve">(22,84A) </w:t>
      </w:r>
      <w:r>
        <w:rPr>
          <w:rFonts w:ascii="Times New Roman" w:hAnsi="Times New Roman"/>
          <w:b/>
          <w:i w:val="false"/>
          <w:color w:val="000000"/>
          <w:sz w:val="22"/>
        </w:rPr>
        <w:t xml:space="preserve">Disclosure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871—3.10</w:t>
      </w:r>
      <w:r>
        <w:rPr>
          <w:rFonts w:ascii="Times New Roman" w:hAnsi="Times New Roman"/>
          <w:b/>
          <w:i w:val="false"/>
          <w:color w:val="000000"/>
          <w:sz w:val="22"/>
        </w:rPr>
        <w:t xml:space="preserve">(22,84A) </w:t>
      </w:r>
      <w:r>
        <w:rPr>
          <w:rFonts w:ascii="Times New Roman" w:hAnsi="Times New Roman"/>
          <w:b/>
          <w:i w:val="false"/>
          <w:color w:val="000000"/>
          <w:sz w:val="22"/>
        </w:rPr>
        <w:t xml:space="preserve">Routine use.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871—3.11</w:t>
      </w:r>
      <w:r>
        <w:rPr>
          <w:rFonts w:ascii="Times New Roman" w:hAnsi="Times New Roman"/>
          <w:b/>
          <w:i w:val="false"/>
          <w:color w:val="000000"/>
          <w:sz w:val="22"/>
        </w:rPr>
        <w:t xml:space="preserve">(22,84A) </w:t>
      </w:r>
      <w:r>
        <w:rPr>
          <w:rFonts w:ascii="Times New Roman" w:hAnsi="Times New Roman"/>
          <w:b/>
          <w:i w:val="false"/>
          <w:color w:val="000000"/>
          <w:sz w:val="22"/>
        </w:rPr>
        <w:t xml:space="preserve">Release to a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871—3.12</w:t>
      </w:r>
      <w:r>
        <w:rPr>
          <w:rFonts w:ascii="Times New Roman" w:hAnsi="Times New Roman"/>
          <w:b/>
          <w:i w:val="false"/>
          <w:color w:val="000000"/>
          <w:sz w:val="22"/>
        </w:rPr>
        <w:t xml:space="preserve">(22,84A)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871—3.13</w:t>
      </w:r>
      <w:r>
        <w:rPr>
          <w:rFonts w:ascii="Times New Roman" w:hAnsi="Times New Roman"/>
          <w:b/>
          <w:i w:val="false"/>
          <w:color w:val="000000"/>
          <w:sz w:val="22"/>
        </w:rPr>
        <w:t xml:space="preserve">(22,84A)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5">
        <w:r>
          <w:rPr>
            <w:rStyle w:val="Hyperlink"/>
            <w:rFonts w:ascii="Times New Roman" w:hAnsi="Times New Roman"/>
            <w:b w:val="false"/>
            <w:i w:val="false"/>
            <w:color w:val="000000"/>
            <w:sz w:val="22"/>
          </w:rPr>
          <w:t>871—3.1</w:t>
        </w:r>
      </w:hyperlink>
      <w:r>
        <w:rPr>
          <w:rFonts w:ascii="Times New Roman" w:hAnsi="Times New Roman"/>
          <w:b w:val="false"/>
          <w:i w:val="false"/>
          <w:color w:val="000000"/>
          <w:sz w:val="22"/>
        </w:rPr>
        <w:t>(22,84A). For each record system, this rule describes the legal authority for the collection of that information, the means of storage of that information and indicates whether a data processing system matches, collates, or permits the comparison of personally identifiable information in one record system with personally identifiable information in another record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3.13(1)</w:t>
      </w:r>
      <w:r>
        <w:rPr>
          <w:rFonts w:ascii="Times New Roman" w:hAnsi="Times New Roman"/>
          <w:b w:val="false"/>
          <w:i w:val="false"/>
          <w:color w:val="000000"/>
          <w:sz w:val="22"/>
        </w:rPr>
        <w:t> </w:t>
      </w:r>
      <w:r>
        <w:rPr>
          <w:rFonts w:ascii="Times New Roman" w:hAnsi="Times New Roman"/>
          <w:b w:val="false"/>
          <w:i w:val="false"/>
          <w:color w:val="000000"/>
          <w:sz w:val="22"/>
        </w:rPr>
        <w:t>The record systems maintained by the agency 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Labor market records. </w:t>
      </w:r>
      <w:r>
        <w:rPr>
          <w:rFonts w:ascii="Times New Roman" w:hAnsi="Times New Roman"/>
          <w:b w:val="false"/>
          <w:i w:val="false"/>
          <w:color w:val="000000"/>
          <w:sz w:val="22"/>
        </w:rPr>
        <w:t>These records are collected from employing units under an agreement with the United States Department of Labor, Bureau of Labor Statistics, for the purposes of analyzing and distributing general labor market information including current employment statistics, employment by occupation statistics, local area unemployment statistics, wage and hour statistics, and permanent mass layoff and plant closing statistics.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economic development survey records. </w:t>
      </w:r>
      <w:r>
        <w:rPr>
          <w:rFonts w:ascii="Times New Roman" w:hAnsi="Times New Roman"/>
          <w:b w:val="false"/>
          <w:i w:val="false"/>
          <w:color w:val="000000"/>
          <w:sz w:val="22"/>
        </w:rPr>
        <w:t>These records are collected from employing units and individuals under an agreement with the department of workforce development, for the purposes of providing local economic development groups with statistical information on the number and characteristics of individuals available for employment within a county as well as providing employee wage by occupation and benefit information.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6">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Some of these records are stored in an automated data processing system and may be retrieved by a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groups of records routinely available for public inspection. </w:t>
      </w:r>
      <w:r>
        <w:rPr>
          <w:rFonts w:ascii="Times New Roman" w:hAnsi="Times New Roman"/>
          <w:b w:val="false"/>
          <w:i w:val="false"/>
          <w:color w:val="000000"/>
          <w:sz w:val="22"/>
        </w:rPr>
        <w:t xml:space="preserve">This paragraph describes groups of records maintained by the agency other than in a record system as defined in rule </w:t>
      </w:r>
      <w:hyperlink r:id="rId7">
        <w:r>
          <w:rPr>
            <w:rStyle w:val="Hyperlink"/>
            <w:rFonts w:ascii="Times New Roman" w:hAnsi="Times New Roman"/>
            <w:b w:val="false"/>
            <w:i w:val="false"/>
            <w:color w:val="000000"/>
            <w:sz w:val="22"/>
          </w:rPr>
          <w:t>871—3.1</w:t>
        </w:r>
      </w:hyperlink>
      <w:r>
        <w:rPr>
          <w:rFonts w:ascii="Times New Roman" w:hAnsi="Times New Roman"/>
          <w:b w:val="false"/>
          <w:i w:val="false"/>
          <w:color w:val="000000"/>
          <w:sz w:val="22"/>
        </w:rPr>
        <w:t>(22,84A):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Rulemaking. Rulemaking records may contain information about persons making written or oral comments on proposed rules. This information is collected pursuant to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Committee records. Agendas, minutes, and materials presented to the department of workforce development coordinating committee are available from the custodian, except those records concerning closed sessions that are exempt from disclosure under Iowa Code section </w:t>
      </w:r>
      <w:hyperlink r:id="rId9">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 xml:space="preserve">. Coordinating committee records contain information about persons who participate in meetings. This information is collected pursuant to Iowa Code sections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84A.2(4)</w:t>
        </w:r>
      </w:hyperlink>
      <w:r>
        <w:rPr>
          <w:rFonts w:ascii="Times New Roman" w:hAnsi="Times New Roman"/>
          <w:b w:val="false"/>
          <w:i w:val="false"/>
          <w:color w:val="000000"/>
          <w:sz w:val="22"/>
        </w:rPr>
        <w:t>. These records are not stored in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agency newsletters, brochures, etc., are available at the administrative office of the agency. These may contain information about persons, including agency staff or members of agency committees. These records are not stored on an automated data processing system and may not be retrieved by a personal identifier.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labor market information are available from the agency. Statistical reports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decisions and advisory opinions. All final orders, decisions and opinions are open to the public except for information that is confidential according to paragraph </w:t>
      </w:r>
      <w:hyperlink r:id="rId12">
        <w:r>
          <w:rPr>
            <w:rStyle w:val="Hyperlink"/>
            <w:rFonts w:ascii="Times New Roman" w:hAnsi="Times New Roman"/>
            <w:b w:val="false"/>
            <w:i w:val="false"/>
            <w:color w:val="000000"/>
            <w:sz w:val="22"/>
          </w:rPr>
          <w:t>3.12(2)</w:t>
        </w:r>
      </w:hyperlink>
      <w:r>
        <w:rPr>
          <w:rFonts w:ascii="Times New Roman" w:hAnsi="Times New Roman"/>
          <w:b w:val="false"/>
          <w:i/>
          <w:color w:val="000000"/>
          <w:sz w:val="22"/>
        </w:rPr>
        <w:t>“g.”</w:t>
      </w:r>
      <w:r>
        <w:rPr>
          <w:rFonts w:ascii="Times New Roman" w:hAnsi="Times New Roman"/>
          <w:b w:val="false"/>
          <w:i w:val="false"/>
          <w:color w:val="000000"/>
          <w:sz w:val="22"/>
        </w:rPr>
        <w:t xml:space="preserve"> These records may contain information about a person collected under the authority of Iowa Code section </w:t>
      </w:r>
      <w:hyperlink r:id="rId13">
        <w:r>
          <w:rPr>
            <w:rStyle w:val="Hyperlink"/>
            <w:rFonts w:ascii="Times New Roman" w:hAnsi="Times New Roman"/>
            <w:b w:val="false"/>
            <w:i w:val="false"/>
            <w:color w:val="000000"/>
            <w:sz w:val="22"/>
          </w:rPr>
          <w:t>84A.1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Published materials. The agency uses many legal and technical publications in its work. The public may inspect these publications upon request. Some of these materials may be protected by copyright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Policy manuals. The agency employees’ manual, containing the policies and procedures for programs administered by the agency, is available in the administrative office of the agency. Subscriptions to all or part of the employees’ manual are available at the cost of production and handling. Requests for subscription information should be addressed to the custodian of the record, Department of Workforce Development, 1000 East Grand Avenue, Des Moines, Iowa 50319. Policy manuals do not contain information about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3.13(2)</w:t>
      </w:r>
      <w:r>
        <w:rPr>
          <w:rFonts w:ascii="Times New Roman" w:hAnsi="Times New Roman"/>
          <w:b w:val="false"/>
          <w:i w:val="false"/>
          <w:color w:val="000000"/>
          <w:sz w:val="22"/>
        </w:rPr>
        <w:t> </w:t>
      </w:r>
      <w:r>
        <w:rPr>
          <w:rFonts w:ascii="Times New Roman" w:hAnsi="Times New Roman"/>
          <w:b w:val="false"/>
          <w:i w:val="false"/>
          <w:color w:val="000000"/>
          <w:sz w:val="22"/>
        </w:rPr>
        <w:t>All data processing systems used by the agency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8690C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5/14/25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871—3.14</w:t>
      </w:r>
      <w:r>
        <w:rPr>
          <w:rFonts w:ascii="Times New Roman" w:hAnsi="Times New Roman"/>
          <w:b/>
          <w:i w:val="false"/>
          <w:color w:val="000000"/>
          <w:sz w:val="22"/>
        </w:rPr>
        <w:t xml:space="preserve">(22,84A) </w:t>
      </w:r>
      <w:r>
        <w:rPr>
          <w:rFonts w:ascii="Times New Roman" w:hAnsi="Times New Roman"/>
          <w:b/>
          <w:i w:val="false"/>
          <w:color w:val="000000"/>
          <w:sz w:val="22"/>
        </w:rPr>
        <w:t xml:space="preserve">Applicability.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4/15/88, Notice 2/24/88—published 5/4/88, effective 6/8/88]</w:t>
      </w:r>
    </w:p>
    <w:p>
      <w:pPr>
        <w:spacing w:before="0" w:after="0"/>
        <w:ind w:left="120"/>
        <w:jc w:val="center"/>
      </w:pPr>
      <w:r>
        <w:rPr>
          <w:rFonts w:ascii="Times New Roman" w:hAnsi="Times New Roman"/>
          <w:b w:val="false"/>
          <w:i w:val="false"/>
          <w:color w:val="000000"/>
          <w:sz w:val="21"/>
        </w:rPr>
        <w:t>[Filed 10/28/88, Notice 8/24/88—published 11/16/88, effective 12/21/88]</w:t>
      </w:r>
    </w:p>
    <w:p>
      <w:pPr>
        <w:spacing w:before="0" w:after="0"/>
        <w:ind w:left="120"/>
        <w:jc w:val="center"/>
      </w:pPr>
      <w:r>
        <w:rPr>
          <w:rFonts w:ascii="Times New Roman" w:hAnsi="Times New Roman"/>
          <w:b w:val="false"/>
          <w:i w:val="false"/>
          <w:color w:val="000000"/>
          <w:sz w:val="21"/>
        </w:rPr>
        <w:t>[Filed 2/20/97, Notice 1/15/97—published 3/12/97, effective 4/16/97]</w:t>
      </w:r>
    </w:p>
    <w:p>
      <w:pPr>
        <w:spacing w:before="0" w:after="0"/>
        <w:ind w:left="120"/>
        <w:jc w:val="center"/>
      </w:pPr>
      <w:r>
        <w:rPr>
          <w:rFonts w:ascii="Times New Roman" w:hAnsi="Times New Roman"/>
          <w:b w:val="false"/>
          <w:i w:val="false"/>
          <w:color w:val="000000"/>
          <w:sz w:val="21"/>
        </w:rPr>
        <w:t>[Filed 9/26/03, Notice 8/20/03—published 10/15/03, effective 11/19/03]</w:t>
      </w:r>
    </w:p>
    <w:p>
      <w:pPr>
        <w:spacing w:before="0" w:after="0"/>
        <w:ind w:left="120"/>
        <w:jc w:val="center"/>
      </w:pPr>
      <w:r>
        <w:rPr>
          <w:rFonts w:ascii="Times New Roman" w:hAnsi="Times New Roman"/>
          <w:b w:val="false"/>
          <w:i w:val="false"/>
          <w:color w:val="000000"/>
          <w:sz w:val="21"/>
        </w:rPr>
        <w:t>[Filed ARC 8690C</w:t>
      </w:r>
      <w:r>
        <w:rPr>
          <w:rFonts w:ascii="Times New Roman" w:hAnsi="Times New Roman"/>
          <w:b w:val="false"/>
          <w:i w:val="false"/>
          <w:color w:val="000000"/>
          <w:sz w:val="21"/>
        </w:rPr>
        <w:t xml:space="preserve"> (Notice ARC 8310C,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[Editorial change: IAC Supplement 5/14/25]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71.3.1.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ac/rule/871.3.1.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84A.2.pdf" Type="http://schemas.openxmlformats.org/officeDocument/2006/relationships/hyperlink" Id="rId11"/>
    <Relationship TargetMode="External" Target="https://www.legis.iowa.gov/docs/iac/rule/871.3.12.pdf" Type="http://schemas.openxmlformats.org/officeDocument/2006/relationships/hyperlink" Id="rId12"/>
    <Relationship TargetMode="External" Target="https://www.legis.iowa.gov/docs/ico/chapter/84A.1.pdf" Type="http://schemas.openxmlformats.org/officeDocument/2006/relationships/hyperlink" Id="rId13"/>
    <Relationship TargetMode="External" Target="https://www.legis.iowa.gov/docs/ico/chapter/22.11.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