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CONTESTED CASE PROCEEDINGS</w:t>
      </w:r>
    </w:p>
    <w:p>
      <w:pPr>
        <w:spacing w:before="0" w:after="0"/>
        <w:ind w:left="120"/>
        <w:jc w:val="center"/>
      </w:pPr>
      <w:r>
        <w:rPr>
          <w:rFonts w:ascii="Times New Roman" w:hAnsi="Times New Roman"/>
          <w:b w:val="false"/>
          <w:i w:val="false"/>
          <w:color w:val="000000"/>
          <w:sz w:val="14"/>
        </w:rPr>
        <w:t>[Prior to 9/24/86, Employment Security[370] Ch 6]</w:t>
      </w:r>
    </w:p>
    <w:p>
      <w:pPr>
        <w:spacing w:before="0" w:after="0"/>
        <w:ind w:left="120"/>
        <w:jc w:val="center"/>
      </w:pPr>
      <w:r>
        <w:rPr>
          <w:rFonts w:ascii="Times New Roman" w:hAnsi="Times New Roman"/>
          <w:b w:val="false"/>
          <w:i w:val="false"/>
          <w:color w:val="000000"/>
          <w:sz w:val="14"/>
        </w:rPr>
        <w:t>[Former 345—6.5(96) and 6.8(96) transferred to 345—9.2(17A,96) and 9.1(17A,96) respectively, IAC 6/10/92]</w:t>
      </w:r>
    </w:p>
    <w:p>
      <w:pPr>
        <w:spacing w:before="0" w:after="0"/>
        <w:ind w:left="120"/>
        <w:jc w:val="center"/>
      </w:pPr>
      <w:r>
        <w:rPr>
          <w:rFonts w:ascii="Times New Roman" w:hAnsi="Times New Roman"/>
          <w:b w:val="false"/>
          <w:i w:val="false"/>
          <w:color w:val="000000"/>
          <w:sz w:val="14"/>
        </w:rPr>
        <w:t>[Prior to 3/12/97, Job Service Division [345]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4/8/31</w:t>
      </w:r>
    </w:p>
    <w:p>
      <w:pPr>
        <w:spacing w:before="0" w:after="0"/>
        <w:ind w:left="120"/>
        <w:jc w:val="both"/>
      </w:pPr>
      <w:r>
        <w:rPr>
          <w:rFonts w:ascii="Times New Roman" w:hAnsi="Times New Roman"/>
          <w:b/>
          <w:i w:val="false"/>
          <w:color w:val="000000"/>
          <w:sz w:val="22"/>
        </w:rPr>
        <w:t>871—26.1</w:t>
      </w:r>
      <w:r>
        <w:rPr>
          <w:rFonts w:ascii="Times New Roman" w:hAnsi="Times New Roman"/>
          <w:b/>
          <w:i w:val="false"/>
          <w:color w:val="000000"/>
          <w:sz w:val="22"/>
        </w:rPr>
        <w:t xml:space="preserve">(17A,96)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The rules in this chapter govern the procedures for contested case proceedings brought pursuant to Iowa Code chapter </w:t>
      </w:r>
      <w:hyperlink r:id="rId5">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0120D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871—26.2</w:t>
      </w:r>
      <w:r>
        <w:rPr>
          <w:rFonts w:ascii="Times New Roman" w:hAnsi="Times New Roman"/>
          <w:b/>
          <w:i w:val="false"/>
          <w:color w:val="000000"/>
          <w:sz w:val="22"/>
        </w:rPr>
        <w:t xml:space="preserve">(17A,96) </w:t>
      </w:r>
      <w:r>
        <w:rPr>
          <w:rFonts w:ascii="Times New Roman" w:hAnsi="Times New Roman"/>
          <w:b/>
          <w:i w:val="false"/>
          <w:color w:val="000000"/>
          <w:sz w:val="22"/>
        </w:rPr>
        <w:t xml:space="preserve">Definitions. </w:t>
      </w:r>
      <w:r>
        <w:rPr>
          <w:rFonts w:ascii="Times New Roman" w:hAnsi="Times New Roman"/>
          <w:b w:val="false"/>
          <w:i w:val="false"/>
          <w:color w:val="000000"/>
          <w:sz w:val="22"/>
        </w:rPr>
        <w:t>Terms defined in the Iowa employment security law and the Iowa administrative procedure Act and that are used in these rules shall have the same meaning as provided by such laws. In addition, the following words and terms when used in this chapter shall have the following meanings, unless the context clearly indicates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“Contested case”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proceeding defined in Iowa Code section </w:t>
      </w:r>
      <w:hyperlink r:id="rId6">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in Iowa Code section </w:t>
      </w:r>
      <w:hyperlink r:id="rId7">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 xml:space="preserve">. It specifically includes any appeal from a determination of a representative of the department or any appeal or request for a hearing by an employer or employing unit from an experience rating, charge determination or other decision affecting its liability. Except as provided in subrule </w:t>
      </w:r>
      <w:hyperlink r:id="rId8">
        <w:r>
          <w:rPr>
            <w:rStyle w:val="Hyperlink"/>
            <w:rFonts w:ascii="Times New Roman" w:hAnsi="Times New Roman"/>
            <w:b w:val="false"/>
            <w:i w:val="false"/>
            <w:color w:val="000000"/>
            <w:sz w:val="22"/>
          </w:rPr>
          <w:t>26.16(4)</w:t>
        </w:r>
      </w:hyperlink>
      <w:r>
        <w:rPr>
          <w:rFonts w:ascii="Times New Roman" w:hAnsi="Times New Roman"/>
          <w:b w:val="false"/>
          <w:i w:val="false"/>
          <w:color w:val="000000"/>
          <w:sz w:val="22"/>
        </w:rPr>
        <w:t>, a final decision of the employment appeal board of the department of inspections, appeals, and licensing shall constitute final agency action. A presiding officer’s decision shall be the final decision of the department if there is no appeal therefrom to the employment appeal board of the department of inspections, appeals, and licensing or if the appeal is made directly to the district court in lieu of filing an appeal with the employment appeal board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“Presiding officer”</w:t>
      </w:r>
      <w:r>
        <w:rPr>
          <w:rFonts w:ascii="Times New Roman" w:hAnsi="Times New Roman"/>
          <w:b w:val="false"/>
          <w:i w:val="false"/>
          <w:color w:val="000000"/>
          <w:sz w:val="22"/>
        </w:rPr>
        <w:t> </w:t>
      </w:r>
      <w:r>
        <w:rPr>
          <w:rFonts w:ascii="Times New Roman" w:hAnsi="Times New Roman"/>
          <w:b w:val="false"/>
          <w:i w:val="false"/>
          <w:color w:val="000000"/>
          <w:sz w:val="22"/>
        </w:rPr>
        <w:t>means an administrative law judge employed by the department of inspections, appeals, and licensing.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0120D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871—26.3</w:t>
      </w:r>
      <w:r>
        <w:rPr>
          <w:rFonts w:ascii="Times New Roman" w:hAnsi="Times New Roman"/>
          <w:b/>
          <w:i w:val="false"/>
          <w:color w:val="000000"/>
          <w:sz w:val="22"/>
        </w:rPr>
        <w:t xml:space="preserve">(17A,96) </w:t>
      </w:r>
      <w:r>
        <w:rPr>
          <w:rFonts w:ascii="Times New Roman" w:hAnsi="Times New Roman"/>
          <w:b/>
          <w:i w:val="false"/>
          <w:color w:val="000000"/>
          <w:sz w:val="22"/>
        </w:rPr>
        <w:t xml:space="preserve">Appeal of unemployment benefits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26.3(1)</w:t>
      </w:r>
      <w:r>
        <w:rPr>
          <w:rFonts w:ascii="Times New Roman" w:hAnsi="Times New Roman"/>
          <w:b w:val="false"/>
          <w:i w:val="false"/>
          <w:color w:val="000000"/>
          <w:sz w:val="22"/>
        </w:rPr>
        <w:t> </w:t>
      </w:r>
      <w:r>
        <w:rPr>
          <w:rFonts w:ascii="Times New Roman" w:hAnsi="Times New Roman"/>
          <w:b w:val="false"/>
          <w:i w:val="false"/>
          <w:color w:val="000000"/>
          <w:sz w:val="22"/>
        </w:rPr>
        <w:t>An unemployment benefits contested case must be filed by a party within ten calendar days from the date noted on the initial determination. The appeal must be in writing and delivered by mail, by email, online, or in person to the department of inspections, appeals, and licensing’s unemployment insurance appeals bureau at Department of Inspections, Appeals, and Licensing, Unemployment Insurance Appeals Bureau, 6200 Park Avenue, Suite 100, East Entrance, Des Moines, Iowa 50321-1270. An online appeal is filed by completing and submitting an online appeal form available in the IowaWorks digital portal.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26.3(2)</w:t>
      </w:r>
      <w:r>
        <w:rPr>
          <w:rFonts w:ascii="Times New Roman" w:hAnsi="Times New Roman"/>
          <w:b w:val="false"/>
          <w:i w:val="false"/>
          <w:color w:val="000000"/>
          <w:sz w:val="22"/>
        </w:rPr>
        <w:t> </w:t>
      </w:r>
      <w:r>
        <w:rPr>
          <w:rFonts w:ascii="Times New Roman" w:hAnsi="Times New Roman"/>
          <w:b w:val="false"/>
          <w:i w:val="false"/>
          <w:color w:val="000000"/>
          <w:sz w:val="22"/>
        </w:rPr>
        <w:t>The appeal should state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social security number of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reference to the decision from which the appeal is taken;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grounds upon which the appeal is based.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subrule </w:t>
      </w:r>
      <w:hyperlink r:id="rId9">
        <w:r>
          <w:rPr>
            <w:rStyle w:val="Hyperlink"/>
            <w:rFonts w:ascii="Times New Roman" w:hAnsi="Times New Roman"/>
            <w:b w:val="false"/>
            <w:i w:val="false"/>
            <w:color w:val="000000"/>
            <w:sz w:val="22"/>
          </w:rPr>
          <w:t>26.3(1)</w:t>
        </w:r>
      </w:hyperlink>
      <w:r>
        <w:rPr>
          <w:rFonts w:ascii="Times New Roman" w:hAnsi="Times New Roman"/>
          <w:b w:val="false"/>
          <w:i w:val="false"/>
          <w:color w:val="000000"/>
          <w:sz w:val="22"/>
        </w:rPr>
        <w:t>, a contributory employer, which has not previously received a notice of the filing of a valid claim for benefits, may appeal an individual’s eligibility to receive benefits within 30 calendar days from the mailing date of the quarterly statement of benefit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26.3(4)</w:t>
      </w:r>
      <w:r>
        <w:rPr>
          <w:rFonts w:ascii="Times New Roman" w:hAnsi="Times New Roman"/>
          <w:b w:val="false"/>
          <w:i w:val="false"/>
          <w:color w:val="000000"/>
          <w:sz w:val="22"/>
        </w:rPr>
        <w:t> </w:t>
      </w:r>
      <w:r>
        <w:rPr>
          <w:rFonts w:ascii="Times New Roman" w:hAnsi="Times New Roman"/>
          <w:b w:val="false"/>
          <w:i w:val="false"/>
          <w:color w:val="000000"/>
          <w:sz w:val="22"/>
        </w:rPr>
        <w:t xml:space="preserve">Also notwithstanding the provisions of subrule </w:t>
      </w:r>
      <w:hyperlink r:id="rId10">
        <w:r>
          <w:rPr>
            <w:rStyle w:val="Hyperlink"/>
            <w:rFonts w:ascii="Times New Roman" w:hAnsi="Times New Roman"/>
            <w:b w:val="false"/>
            <w:i w:val="false"/>
            <w:color w:val="000000"/>
            <w:sz w:val="22"/>
          </w:rPr>
          <w:t>26.3(1)</w:t>
        </w:r>
      </w:hyperlink>
      <w:r>
        <w:rPr>
          <w:rFonts w:ascii="Times New Roman" w:hAnsi="Times New Roman"/>
          <w:b w:val="false"/>
          <w:i w:val="false"/>
          <w:color w:val="000000"/>
          <w:sz w:val="22"/>
        </w:rPr>
        <w:t>, a reimbursable employer, which has not previously received a notice of the filing of a valid claim for benefits, may appeal an individual’s eligibility to receive benefits within 15 calendar days from the mailing date of the quarterly billing of benefit charges.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0120D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871—26.4</w:t>
      </w:r>
      <w:r>
        <w:rPr>
          <w:rFonts w:ascii="Times New Roman" w:hAnsi="Times New Roman"/>
          <w:b/>
          <w:i w:val="false"/>
          <w:color w:val="000000"/>
          <w:sz w:val="22"/>
        </w:rPr>
        <w:t xml:space="preserve">(17A,96) </w:t>
      </w:r>
      <w:r>
        <w:rPr>
          <w:rFonts w:ascii="Times New Roman" w:hAnsi="Times New Roman"/>
          <w:b/>
          <w:i w:val="false"/>
          <w:color w:val="000000"/>
          <w:sz w:val="22"/>
        </w:rPr>
        <w:t xml:space="preserve">Appeal of employer liability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w:t>
      </w:r>
      <w:r>
        <w:rPr>
          <w:rFonts w:ascii="Times New Roman" w:hAnsi="Times New Roman"/>
          <w:b w:val="false"/>
          <w:i w:val="false"/>
          <w:color w:val="000000"/>
          <w:sz w:val="22"/>
        </w:rPr>
        <w:t> </w:t>
      </w:r>
      <w:r>
        <w:rPr>
          <w:rFonts w:ascii="Times New Roman" w:hAnsi="Times New Roman"/>
          <w:b w:val="false"/>
          <w:i w:val="false"/>
          <w:color w:val="000000"/>
          <w:sz w:val="22"/>
        </w:rPr>
        <w:t>An appeal from a decision of the tax bureau of the department concerning employer status and liability, assessments, contribution (tax) rate, successorship, workers’ status, and all questions regarding coverage of a worker or group of workers must be filed by a party no later than 30 calendar days from the mailing date printed on the notice. The appeal must be in writing and delivered by mail, by email, or in person to Tax Bureau,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26.4(2)</w:t>
      </w:r>
      <w:r>
        <w:rPr>
          <w:rFonts w:ascii="Times New Roman" w:hAnsi="Times New Roman"/>
          <w:b w:val="false"/>
          <w:i w:val="false"/>
          <w:color w:val="000000"/>
          <w:sz w:val="22"/>
        </w:rPr>
        <w:t> </w:t>
      </w:r>
      <w:r>
        <w:rPr>
          <w:rFonts w:ascii="Times New Roman" w:hAnsi="Times New Roman"/>
          <w:b w:val="false"/>
          <w:i w:val="false"/>
          <w:color w:val="000000"/>
          <w:sz w:val="22"/>
        </w:rPr>
        <w:t>The appeal should state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Iowa employer account number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official position of the person filing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decision that is being appealed;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grounds upon which the appeal is based.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0120D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871—26.5</w:t>
      </w:r>
      <w:r>
        <w:rPr>
          <w:rFonts w:ascii="Times New Roman" w:hAnsi="Times New Roman"/>
          <w:b/>
          <w:i w:val="false"/>
          <w:color w:val="000000"/>
          <w:sz w:val="22"/>
        </w:rPr>
        <w:t xml:space="preserve">(17A,96)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Notices of hearing shall be sent to all parties at their last-known address at least ten days in advance of the hearing date by first-class mail, email, or other electronic means. Notices of hearing shall contain the information required by Iowa Code section </w:t>
      </w:r>
      <w:hyperlink r:id="rId11">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and any additional information required by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precluded, the parties in a contested case may waive any provision of this chapter pursuant to Iowa Code section </w:t>
      </w:r>
      <w:hyperlink r:id="rId12">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w:t>
      </w:r>
      <w:r>
        <w:rPr>
          <w:rFonts w:ascii="Times New Roman" w:hAnsi="Times New Roman"/>
          <w:b w:val="false"/>
          <w:i w:val="false"/>
          <w:color w:val="000000"/>
          <w:sz w:val="22"/>
        </w:rPr>
        <w:t> </w:t>
      </w:r>
      <w:r>
        <w:rPr>
          <w:rFonts w:ascii="Times New Roman" w:hAnsi="Times New Roman"/>
          <w:b w:val="false"/>
          <w:i w:val="false"/>
          <w:color w:val="000000"/>
          <w:sz w:val="22"/>
        </w:rPr>
        <w:t>A hearing will be promptly scheduled and conducted by telephone unless a party requests that it be held in person. In-person hearings will be located at a site designated by UIAB. The party requesting an in-person hearing will ordinarily be required to travel the greater distance if all parties are not located near the same hearing site. A request for an in-person hearing may be denied if factors such as the distance between the parties, the number of parties or the health of any party make it impractical or impossible to conduct a fair hearing in person. An in-person hearing may be scheduled at the discretion of the presiding officer to whom the contested case is assigned or by the manager or chief administrative law judge of the appeals bureau. At the discretion of the presiding officer, witnesses or representatives may be allowed to participate via telephone in an in-person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w:t>
      </w:r>
      <w:r>
        <w:rPr>
          <w:rFonts w:ascii="Times New Roman" w:hAnsi="Times New Roman"/>
          <w:b w:val="false"/>
          <w:i w:val="false"/>
          <w:color w:val="000000"/>
          <w:sz w:val="22"/>
        </w:rPr>
        <w:t> </w:t>
      </w:r>
      <w:r>
        <w:rPr>
          <w:rFonts w:ascii="Times New Roman" w:hAnsi="Times New Roman"/>
          <w:b w:val="false"/>
          <w:i w:val="false"/>
          <w:color w:val="000000"/>
          <w:sz w:val="22"/>
        </w:rPr>
        <w:t>Whenever it appears that other parties should be joined to dispose of all issues in a contested case, the presiding officer may so order and may grant such continuance to hold such additional proceedings upon notice to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w:t>
      </w:r>
      <w:r>
        <w:rPr>
          <w:rFonts w:ascii="Times New Roman" w:hAnsi="Times New Roman"/>
          <w:b w:val="false"/>
          <w:i w:val="false"/>
          <w:color w:val="000000"/>
          <w:sz w:val="22"/>
        </w:rPr>
        <w:t> </w:t>
      </w:r>
      <w:r>
        <w:rPr>
          <w:rFonts w:ascii="Times New Roman" w:hAnsi="Times New Roman"/>
          <w:b w:val="false"/>
          <w:i w:val="false"/>
          <w:color w:val="000000"/>
          <w:sz w:val="22"/>
        </w:rPr>
        <w:t>Any number of appeals involving similar issues of law or fact may be consolidated for hearing so long as no substantial rights of any party would be prejudiced by so doing.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0120D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871—26.6</w:t>
      </w:r>
      <w:r>
        <w:rPr>
          <w:rFonts w:ascii="Times New Roman" w:hAnsi="Times New Roman"/>
          <w:b/>
          <w:i w:val="false"/>
          <w:color w:val="000000"/>
          <w:sz w:val="22"/>
        </w:rPr>
        <w:t xml:space="preserve">(17A,96) </w:t>
      </w:r>
      <w:r>
        <w:rPr>
          <w:rFonts w:ascii="Times New Roman" w:hAnsi="Times New Roman"/>
          <w:b/>
          <w:i w:val="false"/>
          <w:color w:val="000000"/>
          <w:sz w:val="22"/>
        </w:rPr>
        <w:t xml:space="preserve">Recusal. </w:t>
      </w:r>
      <w:r>
        <w:rPr>
          <w:rFonts w:ascii="Times New Roman" w:hAnsi="Times New Roman"/>
          <w:b w:val="false"/>
          <w:i w:val="false"/>
          <w:color w:val="000000"/>
          <w:sz w:val="22"/>
        </w:rPr>
        <w:t xml:space="preserve">A presiding officer shall withdraw from participation in the hearing or the making of any decision in a contested case in accordance with provisions outlined in rule </w:t>
      </w:r>
      <w:hyperlink r:id="rId13">
        <w:r>
          <w:rPr>
            <w:rStyle w:val="Hyperlink"/>
            <w:rFonts w:ascii="Times New Roman" w:hAnsi="Times New Roman"/>
            <w:b w:val="false"/>
            <w:i w:val="false"/>
            <w:color w:val="000000"/>
            <w:sz w:val="22"/>
          </w:rPr>
          <w:t>481—10.9</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0120D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871—26.7</w:t>
      </w:r>
      <w:r>
        <w:rPr>
          <w:rFonts w:ascii="Times New Roman" w:hAnsi="Times New Roman"/>
          <w:b/>
          <w:i w:val="false"/>
          <w:color w:val="000000"/>
          <w:sz w:val="22"/>
        </w:rPr>
        <w:t xml:space="preserve">(17A,96) </w:t>
      </w:r>
      <w:r>
        <w:rPr>
          <w:rFonts w:ascii="Times New Roman" w:hAnsi="Times New Roman"/>
          <w:b/>
          <w:i w:val="false"/>
          <w:color w:val="000000"/>
          <w:sz w:val="22"/>
        </w:rPr>
        <w:t xml:space="preserve">Withdrawals, dismissals, and continuance.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26.7(1)</w:t>
      </w:r>
      <w:r>
        <w:rPr>
          <w:rFonts w:ascii="Times New Roman" w:hAnsi="Times New Roman"/>
          <w:b w:val="false"/>
          <w:i w:val="false"/>
          <w:color w:val="000000"/>
          <w:sz w:val="22"/>
        </w:rPr>
        <w:t> </w:t>
      </w:r>
      <w:r>
        <w:rPr>
          <w:rFonts w:ascii="Times New Roman" w:hAnsi="Times New Roman"/>
          <w:b w:val="false"/>
          <w:i w:val="false"/>
          <w:color w:val="000000"/>
          <w:sz w:val="22"/>
        </w:rPr>
        <w:t>An appeal may be withdrawn at any time prior to the issuance of a decision upon the request of the appellant and with the approval of a presiding officer. Requests for withdrawal may be made in writing or orally, provided the oral request is recorded by a presiding officer. An appeal may be dismissed upon the request of a party or in the agency’s discretion when the issue or issues on appeal have been resolved in the appellant’s favor.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26.7(2)</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may be postponed by the presiding officer for reasons stated in </w:t>
      </w:r>
      <w:hyperlink r:id="rId14">
        <w:r>
          <w:rPr>
            <w:rStyle w:val="Hyperlink"/>
            <w:rFonts w:ascii="Times New Roman" w:hAnsi="Times New Roman"/>
            <w:b w:val="false"/>
            <w:i w:val="false"/>
            <w:color w:val="000000"/>
            <w:sz w:val="22"/>
          </w:rPr>
          <w:t>481—subrule 10.17(3)</w:t>
        </w:r>
      </w:hyperlink>
      <w:r>
        <w:rPr>
          <w:rFonts w:ascii="Times New Roman" w:hAnsi="Times New Roman"/>
          <w:b w:val="false"/>
          <w:i w:val="false"/>
          <w:color w:val="000000"/>
          <w:sz w:val="22"/>
        </w:rPr>
        <w:t>, either upon the presiding officer’s own motion or upon the request of any party in interest. A party’s request for postponement should be made not less than three days prior to the scheduled hearing and may be in writing or oral, provided the oral request is recorded by the presiding officer. A party shall not be granted more than one postponement except in the case of extreme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w:t>
      </w:r>
      <w:r>
        <w:rPr>
          <w:rFonts w:ascii="Times New Roman" w:hAnsi="Times New Roman"/>
          <w:b w:val="false"/>
          <w:i w:val="false"/>
          <w:color w:val="000000"/>
          <w:sz w:val="22"/>
        </w:rPr>
        <w:t> </w:t>
      </w:r>
      <w:r>
        <w:rPr>
          <w:rFonts w:ascii="Times New Roman" w:hAnsi="Times New Roman"/>
          <w:b w:val="false"/>
          <w:i w:val="false"/>
          <w:color w:val="000000"/>
          <w:sz w:val="22"/>
        </w:rPr>
        <w:t>For good cause shown, the presiding officer may reopen the record, and with notice to all parties, schedule another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“Good cause,”</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is defined as an emergency circumstance that is beyond the control of the party and that prevents the party from being able to participate in the hearing. Examples of good cause include but are not limited to death, sudden illness, or accident involving the party or the party’s immediate family (spouse, partner, children, parents, siblings) or other circumstances evidencing an emergency situation that was beyond the party’s control and was not reasonably foreseeable.</w:t>
      </w:r>
    </w:p>
    <w:p>
      <w:pPr>
        <w:spacing w:before="0" w:after="0"/>
        <w:ind w:left="120"/>
        <w:jc w:val="both"/>
      </w:pPr>
      <w:r>
        <w:rPr>
          <w:rFonts w:ascii="Times New Roman" w:hAnsi="Times New Roman"/>
          <w:b w:val="false"/>
          <w:i w:val="false"/>
          <w:color w:val="000000"/>
          <w:sz w:val="22"/>
        </w:rPr>
        <w:t>Examples of circumstances that do not constitute good cause include but are not limited to a lost or misplaced notice of hearing, confusion as to the date and time for the hearing, failure to follow the directions on the notice of hearing, oversleeping, or other acts demonstrating a lack of due care by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26.7(4)</w:t>
      </w:r>
      <w:r>
        <w:rPr>
          <w:rFonts w:ascii="Times New Roman" w:hAnsi="Times New Roman"/>
          <w:b w:val="false"/>
          <w:i w:val="false"/>
          <w:color w:val="000000"/>
          <w:sz w:val="22"/>
        </w:rPr>
        <w:t> </w:t>
      </w:r>
      <w:r>
        <w:rPr>
          <w:rFonts w:ascii="Times New Roman" w:hAnsi="Times New Roman"/>
          <w:b w:val="false"/>
          <w:i w:val="false"/>
          <w:color w:val="000000"/>
          <w:sz w:val="22"/>
        </w:rPr>
        <w:t>If necessary, the presiding officer may hear, ex parte, additional information regarding the request for reopening. The granting or denial of such a request may be used as grounds for appeal to the employment appeal board of the department of inspections, appeals, and licensing upon the issuance of the presiding officer’s final decision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26.7(5)</w:t>
      </w:r>
      <w:r>
        <w:rPr>
          <w:rFonts w:ascii="Times New Roman" w:hAnsi="Times New Roman"/>
          <w:b w:val="false"/>
          <w:i w:val="false"/>
          <w:color w:val="000000"/>
          <w:sz w:val="22"/>
        </w:rPr>
        <w:t> </w:t>
      </w:r>
      <w:r>
        <w:rPr>
          <w:rFonts w:ascii="Times New Roman" w:hAnsi="Times New Roman"/>
          <w:b w:val="false"/>
          <w:i w:val="false"/>
          <w:color w:val="000000"/>
          <w:sz w:val="22"/>
        </w:rPr>
        <w:t xml:space="preserve">If good cause for reopening has not been shown, the presiding officer may make a decision based upon whatever evidence is properly in the record or, in appropriate cases, may enter default as set forth in rule </w:t>
      </w:r>
      <w:hyperlink r:id="rId15">
        <w:r>
          <w:rPr>
            <w:rStyle w:val="Hyperlink"/>
            <w:rFonts w:ascii="Times New Roman" w:hAnsi="Times New Roman"/>
            <w:b w:val="false"/>
            <w:i w:val="false"/>
            <w:color w:val="000000"/>
            <w:sz w:val="22"/>
          </w:rPr>
          <w:t>871—26.13</w:t>
        </w:r>
      </w:hyperlink>
      <w:r>
        <w:rPr>
          <w:rFonts w:ascii="Times New Roman" w:hAnsi="Times New Roman"/>
          <w:b w:val="false"/>
          <w:i w:val="false"/>
          <w:color w:val="000000"/>
          <w:sz w:val="22"/>
        </w:rPr>
        <w:t>(17A,96).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0120D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871—26.8</w:t>
      </w:r>
      <w:r>
        <w:rPr>
          <w:rFonts w:ascii="Times New Roman" w:hAnsi="Times New Roman"/>
          <w:b/>
          <w:i w:val="false"/>
          <w:color w:val="000000"/>
          <w:sz w:val="22"/>
        </w:rPr>
        <w:t xml:space="preserve">(17A,96)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to civil actions are available to all parties in interest in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26.8(2)</w:t>
      </w:r>
      <w:r>
        <w:rPr>
          <w:rFonts w:ascii="Times New Roman" w:hAnsi="Times New Roman"/>
          <w:b w:val="false"/>
          <w:i w:val="false"/>
          <w:color w:val="000000"/>
          <w:sz w:val="22"/>
        </w:rPr>
        <w:t> </w:t>
      </w:r>
      <w:r>
        <w:rPr>
          <w:rFonts w:ascii="Times New Roman" w:hAnsi="Times New Roman"/>
          <w:b w:val="false"/>
          <w:i w:val="false"/>
          <w:color w:val="000000"/>
          <w:sz w:val="22"/>
        </w:rPr>
        <w:t>Unless otherwise limited by a protective order, discovery is not limited. Upon application by any adversely affected party or upon the presiding officer’s own motion, the presiding officer may limit discovery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discovery sought is unduly repetitious, or the information sought can be obtained by another method that is more convenient, less burdensome, or less expensive;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party seeking discovery has had prior ample opportunity to obtain the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discovery is unduly burdensome or expensive when viewed in the context of the factual issues to be resolved, the limited resources of the parties, and the parties’ interest in prompt resolution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26.8(3)</w:t>
      </w:r>
      <w:r>
        <w:rPr>
          <w:rFonts w:ascii="Times New Roman" w:hAnsi="Times New Roman"/>
          <w:b w:val="false"/>
          <w:i w:val="false"/>
          <w:color w:val="000000"/>
          <w:sz w:val="22"/>
        </w:rPr>
        <w:t> </w:t>
      </w:r>
      <w:r>
        <w:rPr>
          <w:rFonts w:ascii="Times New Roman" w:hAnsi="Times New Roman"/>
          <w:b w:val="false"/>
          <w:i w:val="false"/>
          <w:color w:val="000000"/>
          <w:sz w:val="22"/>
        </w:rPr>
        <w:t>A party may obtain discovery regarding any matter, not privileged, relevant to the subject matter involved in the contested case, including the existence, description, nature, custody, condition and location of any tangible items and the identity and location of persons having knowledge of discoverable matters. Information may be discovered, even if inadmissible itself, if it appears reasonably calculated to lead to the discovery of admissible evidence. The names of a party’s witnesses, their expected testimony, and exhibits to be offered into evidence may be obtained by discovery.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26.8(4)</w:t>
      </w:r>
      <w:r>
        <w:rPr>
          <w:rFonts w:ascii="Times New Roman" w:hAnsi="Times New Roman"/>
          <w:b w:val="false"/>
          <w:i w:val="false"/>
          <w:color w:val="000000"/>
          <w:sz w:val="22"/>
        </w:rPr>
        <w:t> </w:t>
      </w:r>
      <w:r>
        <w:rPr>
          <w:rFonts w:ascii="Times New Roman" w:hAnsi="Times New Roman"/>
          <w:b w:val="false"/>
          <w:i w:val="false"/>
          <w:color w:val="000000"/>
          <w:sz w:val="22"/>
        </w:rPr>
        <w:t>A party who responded to a request for discovery with a response that was complete and accurate when made need not supplement the response to include information obtained later. However, a party must promptly supplement its response to requests for the identity and location of persons having knowledge of discoverable matters and the identity of each person expected to be called to testify at the hearing, and the party must produce copies of exhibits expected to be offered into evidence at the hearing as such decisions are made. A party must also promptly amend any response if it obtains information showing that its prior response was incorrect when made or, though correct when made, is no longer correct.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26.8(5)</w:t>
      </w:r>
      <w:r>
        <w:rPr>
          <w:rFonts w:ascii="Times New Roman" w:hAnsi="Times New Roman"/>
          <w:b w:val="false"/>
          <w:i w:val="false"/>
          <w:color w:val="000000"/>
          <w:sz w:val="22"/>
        </w:rPr>
        <w:t> </w:t>
      </w:r>
      <w:r>
        <w:rPr>
          <w:rFonts w:ascii="Times New Roman" w:hAnsi="Times New Roman"/>
          <w:b w:val="false"/>
          <w:i w:val="false"/>
          <w:color w:val="000000"/>
          <w:sz w:val="22"/>
        </w:rPr>
        <w:t>No motion relating to discovery, including motions for imposition of sanctions, will be considered unless the moving party states that it made a good-faith but unsuccessful effort to resolve the issues raised in the motion with the opposing party without intervention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26.8(6)</w:t>
      </w:r>
      <w:r>
        <w:rPr>
          <w:rFonts w:ascii="Times New Roman" w:hAnsi="Times New Roman"/>
          <w:b w:val="false"/>
          <w:i w:val="false"/>
          <w:color w:val="000000"/>
          <w:sz w:val="22"/>
        </w:rPr>
        <w:t> </w:t>
      </w:r>
      <w:r>
        <w:rPr>
          <w:rFonts w:ascii="Times New Roman" w:hAnsi="Times New Roman"/>
          <w:b w:val="false"/>
          <w:i w:val="false"/>
          <w:color w:val="000000"/>
          <w:sz w:val="22"/>
        </w:rPr>
        <w:t>Upon motion by a party or the person from whom discovery is sought or by any person who may be adversely affected thereby, and for good cause shown, the presiding officer before whom the contested case is pending may make any order that justice requires to protect a party or person from oppression or undue burden or expense. Such order may deny the request for discovery or limit terms, conditions, manner, and scope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26.8(7)</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may, in accordance with subrule </w:t>
      </w:r>
      <w:hyperlink r:id="rId16">
        <w:r>
          <w:rPr>
            <w:rStyle w:val="Hyperlink"/>
            <w:rFonts w:ascii="Times New Roman" w:hAnsi="Times New Roman"/>
            <w:b w:val="false"/>
            <w:i w:val="false"/>
            <w:color w:val="000000"/>
            <w:sz w:val="22"/>
          </w:rPr>
          <w:t>26.8(5)</w:t>
        </w:r>
      </w:hyperlink>
      <w:r>
        <w:rPr>
          <w:rFonts w:ascii="Times New Roman" w:hAnsi="Times New Roman"/>
          <w:b w:val="false"/>
          <w:i w:val="false"/>
          <w:color w:val="000000"/>
          <w:sz w:val="22"/>
        </w:rPr>
        <w:t xml:space="preserve">, ask the presiding officer for an order compelling discovery if the other party fails within a reasonable time to make a complete, good-faith response. After notice to both parties and hearing on the motion, the presiding officer shall enter an order that denies or compels discovery. This order may be combined with a protective order pursuant to subrule </w:t>
      </w:r>
      <w:hyperlink r:id="rId17">
        <w:r>
          <w:rPr>
            <w:rStyle w:val="Hyperlink"/>
            <w:rFonts w:ascii="Times New Roman" w:hAnsi="Times New Roman"/>
            <w:b w:val="false"/>
            <w:i w:val="false"/>
            <w:color w:val="000000"/>
            <w:sz w:val="22"/>
          </w:rPr>
          <w:t>26.8(6)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26.8(8)</w:t>
      </w:r>
      <w:r>
        <w:rPr>
          <w:rFonts w:ascii="Times New Roman" w:hAnsi="Times New Roman"/>
          <w:b w:val="false"/>
          <w:i w:val="false"/>
          <w:color w:val="000000"/>
          <w:sz w:val="22"/>
        </w:rPr>
        <w:t> </w:t>
      </w:r>
      <w:r>
        <w:rPr>
          <w:rFonts w:ascii="Times New Roman" w:hAnsi="Times New Roman"/>
          <w:b w:val="false"/>
          <w:i w:val="false"/>
          <w:color w:val="000000"/>
          <w:sz w:val="22"/>
        </w:rPr>
        <w:t>Upon written request by any party or upon the presiding officer’s own motion, the presiding officer may impose sanctions for the failure to respond to discovery requests; however, sanctions shall not be imposed without prior specific notice from the presiding officer of the contemplated sanction, opportunity to be heard, and, if necessary, further opportunity to cure its failure. The sanctions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Postponing and rescheduling the hearing if requested by the party demonstrably prejudiced by the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Excluding testimony of witnesses not identified in response to a specific request for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Excluding from the record those exhibits not identified in response to a specific request for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Excluding the party from participating in the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Dismissing the party’s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26.8(9)</w:t>
      </w:r>
      <w:r>
        <w:rPr>
          <w:rFonts w:ascii="Times New Roman" w:hAnsi="Times New Roman"/>
          <w:b w:val="false"/>
          <w:i w:val="false"/>
          <w:color w:val="000000"/>
          <w:sz w:val="22"/>
        </w:rPr>
        <w:t> </w:t>
      </w:r>
      <w:r>
        <w:rPr>
          <w:rFonts w:ascii="Times New Roman" w:hAnsi="Times New Roman"/>
          <w:b w:val="false"/>
          <w:i w:val="false"/>
          <w:color w:val="000000"/>
          <w:sz w:val="22"/>
        </w:rPr>
        <w:t>Requests for discovery shall be served on the opposing party by ordinary mail or email. Responses must be served on the party requesting the discovery within ten days after the discovery request is sent unless the presiding officer grants an extension of time to comply. Requests for discovery must be made at least ten days before a scheduled contested case hearing. A party’s inattention to preparation is not good cause to postpone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0120D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871—26.9</w:t>
      </w:r>
      <w:r>
        <w:rPr>
          <w:rFonts w:ascii="Times New Roman" w:hAnsi="Times New Roman"/>
          <w:b/>
          <w:i w:val="false"/>
          <w:color w:val="000000"/>
          <w:sz w:val="22"/>
        </w:rPr>
        <w:t xml:space="preserve">(17A,96) </w:t>
      </w:r>
      <w:r>
        <w:rPr>
          <w:rFonts w:ascii="Times New Roman" w:hAnsi="Times New Roman"/>
          <w:b/>
          <w:i w:val="false"/>
          <w:color w:val="000000"/>
          <w:sz w:val="22"/>
        </w:rPr>
        <w:t xml:space="preserve">Ex parte communications. </w:t>
      </w:r>
      <w:r>
        <w:rPr>
          <w:rFonts w:ascii="Times New Roman" w:hAnsi="Times New Roman"/>
          <w:b w:val="false"/>
          <w:i w:val="false"/>
          <w:color w:val="000000"/>
          <w:sz w:val="22"/>
        </w:rPr>
        <w:t xml:space="preserve">Ex parte communication is subject to rule </w:t>
      </w:r>
      <w:hyperlink r:id="rId18">
        <w:r>
          <w:rPr>
            <w:rStyle w:val="Hyperlink"/>
            <w:rFonts w:ascii="Times New Roman" w:hAnsi="Times New Roman"/>
            <w:b w:val="false"/>
            <w:i w:val="false"/>
            <w:color w:val="000000"/>
            <w:sz w:val="22"/>
          </w:rPr>
          <w:t>481—10.23</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0120D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871—26.10</w:t>
      </w:r>
      <w:r>
        <w:rPr>
          <w:rFonts w:ascii="Times New Roman" w:hAnsi="Times New Roman"/>
          <w:b/>
          <w:i w:val="false"/>
          <w:color w:val="000000"/>
          <w:sz w:val="22"/>
        </w:rPr>
        <w:t xml:space="preserve">(17A,96) </w:t>
      </w:r>
      <w:r>
        <w:rPr>
          <w:rFonts w:ascii="Times New Roman" w:hAnsi="Times New Roman"/>
          <w:b/>
          <w:i w:val="false"/>
          <w:color w:val="000000"/>
          <w:sz w:val="22"/>
        </w:rPr>
        <w:t xml:space="preserve">Motions. </w:t>
      </w:r>
      <w:r>
        <w:rPr>
          <w:rFonts w:ascii="Times New Roman" w:hAnsi="Times New Roman"/>
          <w:b w:val="false"/>
          <w:i w:val="false"/>
          <w:color w:val="000000"/>
          <w:sz w:val="22"/>
        </w:rPr>
        <w:t xml:space="preserve">Motion practice is subject to rule </w:t>
      </w:r>
      <w:hyperlink r:id="rId19">
        <w:r>
          <w:rPr>
            <w:rStyle w:val="Hyperlink"/>
            <w:rFonts w:ascii="Times New Roman" w:hAnsi="Times New Roman"/>
            <w:b w:val="false"/>
            <w:i w:val="false"/>
            <w:color w:val="000000"/>
            <w:sz w:val="22"/>
          </w:rPr>
          <w:t>481—10.15</w:t>
        </w:r>
      </w:hyperlink>
      <w:r>
        <w:rPr>
          <w:rFonts w:ascii="Times New Roman" w:hAnsi="Times New Roman"/>
          <w:b w:val="false"/>
          <w:i w:val="false"/>
          <w:color w:val="000000"/>
          <w:sz w:val="22"/>
        </w:rPr>
        <w:t>(10A,17A) with the following 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Written responses to motions may be filed within five days after the motion is served.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Motions pertaining to the hearing must be filed and served at least five days prior to the hearing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0120D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871—26.11</w:t>
      </w:r>
      <w:r>
        <w:rPr>
          <w:rFonts w:ascii="Times New Roman" w:hAnsi="Times New Roman"/>
          <w:b/>
          <w:i w:val="false"/>
          <w:color w:val="000000"/>
          <w:sz w:val="22"/>
        </w:rPr>
        <w:t xml:space="preserve">(17A,96) </w:t>
      </w:r>
      <w:r>
        <w:rPr>
          <w:rFonts w:ascii="Times New Roman" w:hAnsi="Times New Roman"/>
          <w:b/>
          <w:i w:val="false"/>
          <w:color w:val="000000"/>
          <w:sz w:val="22"/>
        </w:rPr>
        <w:t xml:space="preserve">Prehearing conference. </w:t>
      </w:r>
      <w:r>
        <w:rPr>
          <w:rFonts w:ascii="Times New Roman" w:hAnsi="Times New Roman"/>
          <w:b w:val="false"/>
          <w:i w:val="false"/>
          <w:color w:val="000000"/>
          <w:sz w:val="22"/>
        </w:rPr>
        <w:t xml:space="preserve">Prehearing conferences are subject to rule </w:t>
      </w:r>
      <w:hyperlink r:id="rId20">
        <w:r>
          <w:rPr>
            <w:rStyle w:val="Hyperlink"/>
            <w:rFonts w:ascii="Times New Roman" w:hAnsi="Times New Roman"/>
            <w:b w:val="false"/>
            <w:i w:val="false"/>
            <w:color w:val="000000"/>
            <w:sz w:val="22"/>
          </w:rPr>
          <w:t>481—10.16</w:t>
        </w:r>
      </w:hyperlink>
      <w:r>
        <w:rPr>
          <w:rFonts w:ascii="Times New Roman" w:hAnsi="Times New Roman"/>
          <w:b w:val="false"/>
          <w:i w:val="false"/>
          <w:color w:val="000000"/>
          <w:sz w:val="22"/>
        </w:rPr>
        <w:t>(10A,17A), with the exception that requests for a prehearing conference must be filed within three days prior to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0120D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871—26.12</w:t>
      </w:r>
      <w:r>
        <w:rPr>
          <w:rFonts w:ascii="Times New Roman" w:hAnsi="Times New Roman"/>
          <w:b/>
          <w:i w:val="false"/>
          <w:color w:val="000000"/>
          <w:sz w:val="22"/>
        </w:rPr>
        <w:t xml:space="preserve">(17A,96) </w:t>
      </w:r>
      <w:r>
        <w:rPr>
          <w:rFonts w:ascii="Times New Roman" w:hAnsi="Times New Roman"/>
          <w:b/>
          <w:i w:val="false"/>
          <w:color w:val="000000"/>
          <w:sz w:val="22"/>
        </w:rPr>
        <w:t xml:space="preserve">Subpoenas for witnesses and documents. </w:t>
      </w:r>
      <w:r>
        <w:rPr>
          <w:rFonts w:ascii="Times New Roman" w:hAnsi="Times New Roman"/>
          <w:b w:val="false"/>
          <w:i w:val="false"/>
          <w:color w:val="000000"/>
          <w:sz w:val="22"/>
        </w:rPr>
        <w:t xml:space="preserve">Subpoenas are subject to rule </w:t>
      </w:r>
      <w:hyperlink r:id="rId21">
        <w:r>
          <w:rPr>
            <w:rStyle w:val="Hyperlink"/>
            <w:rFonts w:ascii="Times New Roman" w:hAnsi="Times New Roman"/>
            <w:b w:val="false"/>
            <w:i w:val="false"/>
            <w:color w:val="000000"/>
            <w:sz w:val="22"/>
          </w:rPr>
          <w:t>481—10.14</w:t>
        </w:r>
      </w:hyperlink>
      <w:r>
        <w:rPr>
          <w:rFonts w:ascii="Times New Roman" w:hAnsi="Times New Roman"/>
          <w:b w:val="false"/>
          <w:i w:val="false"/>
          <w:color w:val="000000"/>
          <w:sz w:val="22"/>
        </w:rPr>
        <w:t xml:space="preserve">(10A,17A) and Iowa Code section </w:t>
      </w:r>
      <w:hyperlink r:id="rId22">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with the exception that subpoena requests must be filed within three days prior to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0120D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871—26.13</w:t>
      </w:r>
      <w:r>
        <w:rPr>
          <w:rFonts w:ascii="Times New Roman" w:hAnsi="Times New Roman"/>
          <w:b/>
          <w:i w:val="false"/>
          <w:color w:val="000000"/>
          <w:sz w:val="22"/>
        </w:rPr>
        <w:t xml:space="preserve">(17A,96) </w:t>
      </w:r>
      <w:r>
        <w:rPr>
          <w:rFonts w:ascii="Times New Roman" w:hAnsi="Times New Roman"/>
          <w:b/>
          <w:i w:val="false"/>
          <w:color w:val="000000"/>
          <w:sz w:val="22"/>
        </w:rPr>
        <w:t xml:space="preserve">Conduct of hearings. </w:t>
      </w:r>
      <w:r>
        <w:rPr>
          <w:rFonts w:ascii="Times New Roman" w:hAnsi="Times New Roman"/>
          <w:b w:val="false"/>
          <w:i w:val="false"/>
          <w:color w:val="000000"/>
          <w:sz w:val="22"/>
        </w:rPr>
        <w:t xml:space="preserve">The conduct of hearings is governed by rule </w:t>
      </w:r>
      <w:hyperlink r:id="rId23">
        <w:r>
          <w:rPr>
            <w:rStyle w:val="Hyperlink"/>
            <w:rFonts w:ascii="Times New Roman" w:hAnsi="Times New Roman"/>
            <w:b w:val="false"/>
            <w:i w:val="false"/>
            <w:color w:val="000000"/>
            <w:sz w:val="22"/>
          </w:rPr>
          <w:t>481—10.20</w:t>
        </w:r>
      </w:hyperlink>
      <w:r>
        <w:rPr>
          <w:rFonts w:ascii="Times New Roman" w:hAnsi="Times New Roman"/>
          <w:b w:val="false"/>
          <w:i w:val="false"/>
          <w:color w:val="000000"/>
          <w:sz w:val="22"/>
        </w:rPr>
        <w:t>(17A), with the exception of the additional following subrules: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begin each hearing with a brief statement identifying the parties and issues, outlining the history of the case, advising the parties of their appeal rights and announcing what matters, if any, will be officially noticed. Any party may inspect and use any portion of the administrative file necessary for the presentation of its case. The administrative file may include information from the claimant’s files maintained in the agency’s computer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26.13(2)</w:t>
      </w:r>
      <w:r>
        <w:rPr>
          <w:rFonts w:ascii="Times New Roman" w:hAnsi="Times New Roman"/>
          <w:b w:val="false"/>
          <w:i w:val="false"/>
          <w:color w:val="000000"/>
          <w:sz w:val="22"/>
        </w:rPr>
        <w:t> </w:t>
      </w:r>
      <w:r>
        <w:rPr>
          <w:rFonts w:ascii="Times New Roman" w:hAnsi="Times New Roman"/>
          <w:b w:val="false"/>
          <w:i w:val="false"/>
          <w:color w:val="000000"/>
          <w:sz w:val="22"/>
        </w:rPr>
        <w:t>Each party shall be afforded an opportunity for an opening statement and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26.13(3)</w:t>
      </w:r>
      <w:r>
        <w:rPr>
          <w:rFonts w:ascii="Times New Roman" w:hAnsi="Times New Roman"/>
          <w:b w:val="false"/>
          <w:i w:val="false"/>
          <w:color w:val="000000"/>
          <w:sz w:val="22"/>
        </w:rPr>
        <w:t> </w:t>
      </w:r>
      <w:r>
        <w:rPr>
          <w:rFonts w:ascii="Times New Roman" w:hAnsi="Times New Roman"/>
          <w:b w:val="false"/>
          <w:i w:val="false"/>
          <w:color w:val="000000"/>
          <w:sz w:val="22"/>
        </w:rPr>
        <w:t>The hearing shall be confined to evidence relevant to the issue or issues stated on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26.13(4)</w:t>
      </w:r>
      <w:r>
        <w:rPr>
          <w:rFonts w:ascii="Times New Roman" w:hAnsi="Times New Roman"/>
          <w:b w:val="false"/>
          <w:i w:val="false"/>
          <w:color w:val="000000"/>
          <w:sz w:val="22"/>
        </w:rPr>
        <w:t> </w:t>
      </w:r>
      <w:r>
        <w:rPr>
          <w:rFonts w:ascii="Times New Roman" w:hAnsi="Times New Roman"/>
          <w:b w:val="false"/>
          <w:i w:val="false"/>
          <w:color w:val="000000"/>
          <w:sz w:val="22"/>
        </w:rPr>
        <w:t>If, during the course of a hearing, it appears to the presiding officer that an issue not set forth in the notice of hearing may affect the presiding officer’s decision, the presiding officer shall so notify the parties and announce willingness to continue taking testimony on the underlying factual matters if the parties agree to waive on record further notice and make no objection to continuing. If any party objects, the presiding officer shall postpone or continue the hearing and cause new notices of hearing, containing all relevant issues, to be sent to the parties. Notwithstanding, voluntary quits and discharges generally shall be construed to constitute the single issue of separation from employment so that evidence of either or both types of separation may be received in a single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26.13(5)</w:t>
      </w:r>
      <w:r>
        <w:rPr>
          <w:rFonts w:ascii="Times New Roman" w:hAnsi="Times New Roman"/>
          <w:b w:val="false"/>
          <w:i w:val="false"/>
          <w:color w:val="000000"/>
          <w:sz w:val="22"/>
        </w:rPr>
        <w:t> </w:t>
      </w:r>
      <w:r>
        <w:rPr>
          <w:rFonts w:ascii="Times New Roman" w:hAnsi="Times New Roman"/>
          <w:b w:val="false"/>
          <w:i w:val="false"/>
          <w:color w:val="000000"/>
          <w:sz w:val="22"/>
        </w:rPr>
        <w:t>If factual issues generally relevant to a party’s eligibility or liability for benefits but unrelated to the underlying facts in controversy in the present contested case are exposed, the presiding officer may remand the issue to the appropriate section of the department for investigation and preliminary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26.13(6)</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fails to appear for the hearing, the presiding officer may proceed with the hearing or decide the appealing party is in default and dismiss the appeal as provided in Iowa Code section </w:t>
      </w:r>
      <w:hyperlink r:id="rId24">
        <w:r>
          <w:rPr>
            <w:rStyle w:val="Hyperlink"/>
            <w:rFonts w:ascii="Times New Roman" w:hAnsi="Times New Roman"/>
            <w:b w:val="false"/>
            <w:i w:val="false"/>
            <w:color w:val="000000"/>
            <w:sz w:val="22"/>
          </w:rPr>
          <w:t>17A.12(3)</w:t>
        </w:r>
      </w:hyperlink>
      <w:r>
        <w:rPr>
          <w:rFonts w:ascii="Times New Roman" w:hAnsi="Times New Roman"/>
          <w:b w:val="false"/>
          <w:i w:val="false"/>
          <w:color w:val="000000"/>
          <w:sz w:val="22"/>
        </w:rPr>
        <w:t xml:space="preserve">. If no decision has been issued, the absent party may make a written request to reopen the record for good cause as defined in subrule </w:t>
      </w:r>
      <w:hyperlink r:id="rId25">
        <w:r>
          <w:rPr>
            <w:rStyle w:val="Hyperlink"/>
            <w:rFonts w:ascii="Times New Roman" w:hAnsi="Times New Roman"/>
            <w:b w:val="false"/>
            <w:i w:val="false"/>
            <w:color w:val="000000"/>
            <w:sz w:val="22"/>
          </w:rPr>
          <w:t>26.7(3)</w:t>
        </w:r>
      </w:hyperlink>
      <w:r>
        <w:rPr>
          <w:rFonts w:ascii="Times New Roman" w:hAnsi="Times New Roman"/>
          <w:b w:val="false"/>
          <w:i w:val="false"/>
          <w:color w:val="000000"/>
          <w:sz w:val="22"/>
        </w:rPr>
        <w:t>. The presiding officer may reopen the record for additional material, relevant and nonrepetitious evidence not submitted at the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absent party responds to the hearing notice while the hearing is in progress, the presiding officer shall admit the party, summarize the hearing to that point, administer the oath, and resume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absent party responds to the notice of hearing after the record has been closed and any party that has participated is no longer on the telephone line or present, the presiding officer shall not take the evidence of the late party and the party may file a written request to reopen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a decision has been entered, the absent party may file an appeal to the employment appeal board to request a new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26.13(7)</w:t>
      </w:r>
      <w:r>
        <w:rPr>
          <w:rFonts w:ascii="Times New Roman" w:hAnsi="Times New Roman"/>
          <w:b w:val="false"/>
          <w:i w:val="false"/>
          <w:color w:val="000000"/>
          <w:sz w:val="22"/>
        </w:rPr>
        <w:t> </w:t>
      </w:r>
      <w:r>
        <w:rPr>
          <w:rFonts w:ascii="Times New Roman" w:hAnsi="Times New Roman"/>
          <w:b w:val="false"/>
          <w:i w:val="false"/>
          <w:color w:val="000000"/>
          <w:sz w:val="22"/>
        </w:rPr>
        <w:t>Whenever necessary, the presiding officer may require the attendance at a hearing of department employees having knowledge of the facts in controversy or having technical knowledge concerning the issues raised in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primary issue is the claimant’s ability to work, availability for work or work search, the department may be named as respondent. The presiding officer may call department personnel having knowledge of the facts in controversy as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issue on appeal is an offer of or recall to work or a job referral by a local workforce development center, both the employer making the offer or recall and the workforce development center representative making the referral may be witnesses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issue on appeal is the claimant’s refusal of employment because of wages, the presiding officer may take the testimony of the workforce development representative having knowledge of prevailing wages in the vicinity. The presiding officer may also obtain testimony and evidence of the hours and other conditions of work for similar jobs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26.13(8)</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presiding officer, witnesses may be excluded from the hearing room or telephone hearing until called to testify. The presiding officer shall admonish such witnesses not to discuss the case among themselves until after the record has been closed. All witnesses shall be subject to examination by the presiding officer and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26.13(9)</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expel or refuse admittance to any party, witness or other person whose conduct at the hearing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26.13(10)</w:t>
      </w:r>
      <w:r>
        <w:rPr>
          <w:rFonts w:ascii="Times New Roman" w:hAnsi="Times New Roman"/>
          <w:b w:val="false"/>
          <w:i w:val="false"/>
          <w:color w:val="000000"/>
          <w:sz w:val="22"/>
        </w:rPr>
        <w:t> </w:t>
      </w:r>
      <w:r>
        <w:rPr>
          <w:rFonts w:ascii="Times New Roman" w:hAnsi="Times New Roman"/>
          <w:b w:val="false"/>
          <w:i w:val="false"/>
          <w:color w:val="000000"/>
          <w:sz w:val="22"/>
        </w:rPr>
        <w:t>If the parties agree that no dispute of material facts exists as to a matter that would be a contested case if such a dispute of fact existed, the parties may present all relevant material evidence either by stipulation or otherwise as agreed by the parties, without the necessity of a formal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26.13(11)</w:t>
      </w:r>
      <w:r>
        <w:rPr>
          <w:rFonts w:ascii="Times New Roman" w:hAnsi="Times New Roman"/>
          <w:b w:val="false"/>
          <w:i w:val="false"/>
          <w:color w:val="000000"/>
          <w:sz w:val="22"/>
        </w:rPr>
        <w:t> </w:t>
      </w:r>
      <w:r>
        <w:rPr>
          <w:rFonts w:ascii="Times New Roman" w:hAnsi="Times New Roman"/>
          <w:b w:val="false"/>
          <w:i w:val="false"/>
          <w:color w:val="000000"/>
          <w:sz w:val="22"/>
        </w:rPr>
        <w:t>Any party may appear in any proceeding. Any partnership, cooperation, or association may be represented by any of its members or officers or a duly authorized representative of an interested party. Any party may appear by, or be represented by, an attorney-at-law or a duly authorized representative of an interested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26.13(12)</w:t>
      </w:r>
      <w:r>
        <w:rPr>
          <w:rFonts w:ascii="Times New Roman" w:hAnsi="Times New Roman"/>
          <w:b w:val="false"/>
          <w:i w:val="false"/>
          <w:color w:val="000000"/>
          <w:sz w:val="22"/>
        </w:rPr>
        <w:t> </w:t>
      </w:r>
      <w:r>
        <w:rPr>
          <w:rFonts w:ascii="Times New Roman" w:hAnsi="Times New Roman"/>
          <w:b w:val="false"/>
          <w:i w:val="false"/>
          <w:color w:val="000000"/>
          <w:sz w:val="22"/>
        </w:rPr>
        <w:t>If a party not attending the hearing will be represented by another person, such person must submit to the presiding officer written proof of the representation, signed by the party such person claims to represent, at least three days before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0120D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871—26.14</w:t>
      </w:r>
      <w:r>
        <w:rPr>
          <w:rFonts w:ascii="Times New Roman" w:hAnsi="Times New Roman"/>
          <w:b/>
          <w:i w:val="false"/>
          <w:color w:val="000000"/>
          <w:sz w:val="22"/>
        </w:rPr>
        <w:t xml:space="preserve">(17A,96) </w:t>
      </w:r>
      <w:r>
        <w:rPr>
          <w:rFonts w:ascii="Times New Roman" w:hAnsi="Times New Roman"/>
          <w:b/>
          <w:i w:val="false"/>
          <w:color w:val="000000"/>
          <w:sz w:val="22"/>
        </w:rPr>
        <w:t xml:space="preserve">Evidence. </w:t>
      </w:r>
      <w:r>
        <w:rPr>
          <w:rFonts w:ascii="Times New Roman" w:hAnsi="Times New Roman"/>
          <w:b w:val="false"/>
          <w:i w:val="false"/>
          <w:color w:val="000000"/>
          <w:sz w:val="22"/>
        </w:rPr>
        <w:t xml:space="preserve">Rules of evidence are followed in accordance with Iowa Code section </w:t>
      </w:r>
      <w:hyperlink r:id="rId26">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0120D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871—26.15</w:t>
      </w:r>
      <w:r>
        <w:rPr>
          <w:rFonts w:ascii="Times New Roman" w:hAnsi="Times New Roman"/>
          <w:b/>
          <w:i w:val="false"/>
          <w:color w:val="000000"/>
          <w:sz w:val="22"/>
        </w:rPr>
        <w:t xml:space="preserve">(17A,96) </w:t>
      </w:r>
      <w:r>
        <w:rPr>
          <w:rFonts w:ascii="Times New Roman" w:hAnsi="Times New Roman"/>
          <w:b/>
          <w:i w:val="false"/>
          <w:color w:val="000000"/>
          <w:sz w:val="22"/>
        </w:rPr>
        <w:t xml:space="preserve">Recording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electronically record all evidentiary hearings, prehearing conferences and hearings on motions, all of which constitute a part of the record of the contested case. A party may, at its own expense, also record any hearing electronically or by certified shorthand reporter.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26.15(2)</w:t>
      </w:r>
      <w:r>
        <w:rPr>
          <w:rFonts w:ascii="Times New Roman" w:hAnsi="Times New Roman"/>
          <w:b w:val="false"/>
          <w:i w:val="false"/>
          <w:color w:val="000000"/>
          <w:sz w:val="22"/>
        </w:rPr>
        <w:t> </w:t>
      </w:r>
      <w:r>
        <w:rPr>
          <w:rFonts w:ascii="Times New Roman" w:hAnsi="Times New Roman"/>
          <w:b w:val="false"/>
          <w:i w:val="false"/>
          <w:color w:val="000000"/>
          <w:sz w:val="22"/>
        </w:rPr>
        <w:t>Upon request of a party, the department shall provide a copy of the whole or a part of the record at a cost, unless there is further appeal, in which event the record shall be provided to all parties at no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0120D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871—26.16</w:t>
      </w:r>
      <w:r>
        <w:rPr>
          <w:rFonts w:ascii="Times New Roman" w:hAnsi="Times New Roman"/>
          <w:b/>
          <w:i w:val="false"/>
          <w:color w:val="000000"/>
          <w:sz w:val="22"/>
        </w:rPr>
        <w:t xml:space="preserve">(17A,96)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issue a written, signed decision as soon as practicable after the closing of the record in a contested case.  Each decision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Set forth the issues, the appeal rights, a concise history of the case, the findings of essential facts, the reasons for the decision and the actual disposition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based on the kind and quality of evidence upon which reasonably prudent persons customarily rely for the conduct of their serious affairs, even if none of such evidence would be admissible in a jury trial in the Iowa district court;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sent by first-class mail, email, or other electronic transmission to each of the parties in interest and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26.16(2)</w:t>
      </w:r>
      <w:r>
        <w:rPr>
          <w:rFonts w:ascii="Times New Roman" w:hAnsi="Times New Roman"/>
          <w:b w:val="false"/>
          <w:i w:val="false"/>
          <w:color w:val="000000"/>
          <w:sz w:val="22"/>
        </w:rPr>
        <w:t> </w:t>
      </w:r>
      <w:r>
        <w:rPr>
          <w:rFonts w:ascii="Times New Roman" w:hAnsi="Times New Roman"/>
          <w:b w:val="false"/>
          <w:i w:val="false"/>
          <w:color w:val="000000"/>
          <w:sz w:val="22"/>
        </w:rPr>
        <w:t>Copies of all presiding officer decisions shall be kept on file for public inspection at the administrative office of the department of workforce development, filed according to hearing (appeal) number and indexed by the social security number of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26.16(3)</w:t>
      </w:r>
      <w:r>
        <w:rPr>
          <w:rFonts w:ascii="Times New Roman" w:hAnsi="Times New Roman"/>
          <w:b w:val="false"/>
          <w:i w:val="false"/>
          <w:color w:val="000000"/>
          <w:sz w:val="22"/>
        </w:rPr>
        <w:t> </w:t>
      </w:r>
      <w:r>
        <w:rPr>
          <w:rFonts w:ascii="Times New Roman" w:hAnsi="Times New Roman"/>
          <w:b w:val="false"/>
          <w:i w:val="false"/>
          <w:color w:val="000000"/>
          <w:sz w:val="22"/>
        </w:rPr>
        <w:t>A presiding officer’s decision allowing benefits shall result in the prompt payment of all benefits due. An appeal shall not stay the payment of benefits. A presiding officer’s decision reversing an allowance of benefits shall include a statement of overpayment of benefits erroneously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26.16(4)</w:t>
      </w:r>
      <w:r>
        <w:rPr>
          <w:rFonts w:ascii="Times New Roman" w:hAnsi="Times New Roman"/>
          <w:b w:val="false"/>
          <w:i w:val="false"/>
          <w:color w:val="000000"/>
          <w:sz w:val="22"/>
        </w:rPr>
        <w:t> </w:t>
      </w:r>
      <w:r>
        <w:rPr>
          <w:rFonts w:ascii="Times New Roman" w:hAnsi="Times New Roman"/>
          <w:b w:val="false"/>
          <w:i w:val="false"/>
          <w:color w:val="000000"/>
          <w:sz w:val="22"/>
        </w:rPr>
        <w:t>A presiding officer’s decision constitutes final agency action in an employer liability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in interest may file with the presiding officer a written application for rehearing within 20 days after the issuance of the decision. A request for rehearing is deemed denied unless the presiding officer grants the rehearing request within 20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in interest may file a petition for judicial review in the Iowa district court within 30 days after the issuance of the decision or within 30 days after the denial of the request for rehearing.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26.16(5)</w:t>
      </w:r>
      <w:r>
        <w:rPr>
          <w:rFonts w:ascii="Times New Roman" w:hAnsi="Times New Roman"/>
          <w:b w:val="false"/>
          <w:i w:val="false"/>
          <w:color w:val="000000"/>
          <w:sz w:val="22"/>
        </w:rPr>
        <w:t> </w:t>
      </w:r>
      <w:r>
        <w:rPr>
          <w:rFonts w:ascii="Times New Roman" w:hAnsi="Times New Roman"/>
          <w:b w:val="false"/>
          <w:i w:val="false"/>
          <w:color w:val="000000"/>
          <w:sz w:val="22"/>
        </w:rPr>
        <w:t>In a claimant benefit contested case, final agency action shall be a presiding officer’s decision, if no aggrieved party appealed the decision to the employment appeal board within 15 days, or the decision of the employment appeal board, if the aggrieved party appealed the decision to that tribunal.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Once final agency action has been established, any party who is aggrieved or adversely affected by the agency action has 30 days to file a petition for judicial review with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in interest may file with the presiding officer a written application for rehearing within 20 days after the date that the decision becomes final as a result of the failure to appeal the decision to the employment board. Applications for rehearing filed before this date will be forwarded to the employment appeal board as appeals to that tribunal. A request for rehearing is deemed denied unless the presiding officer grants the rehearing request within 20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party in interest may file a petition for judicial review within 30 days after the denial of the request for rehearing.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0120D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10/28/75, Notice 9/22/75—published 11/17/75, effective 12/23/75]</w:t>
      </w:r>
    </w:p>
    <w:p>
      <w:pPr>
        <w:spacing w:before="0" w:after="0"/>
        <w:ind w:left="120"/>
        <w:jc w:val="center"/>
      </w:pPr>
      <w:r>
        <w:rPr>
          <w:rFonts w:ascii="Times New Roman" w:hAnsi="Times New Roman"/>
          <w:b w:val="false"/>
          <w:i w:val="false"/>
          <w:color w:val="000000"/>
          <w:sz w:val="21"/>
        </w:rPr>
        <w:t>[Filed 4/29/76, Notice 3/22/76—published 5/17/76, effective 6/21/76]</w:t>
      </w:r>
    </w:p>
    <w:p>
      <w:pPr>
        <w:spacing w:before="0" w:after="0"/>
        <w:ind w:left="120"/>
        <w:jc w:val="center"/>
      </w:pPr>
      <w:r>
        <w:rPr>
          <w:rFonts w:ascii="Times New Roman" w:hAnsi="Times New Roman"/>
          <w:b w:val="false"/>
          <w:i w:val="false"/>
          <w:color w:val="000000"/>
          <w:sz w:val="21"/>
        </w:rPr>
        <w:t>[Filed 12/9/76, Notice 11/3/76—published 12/29/76, effective 2/2/77]</w:t>
      </w:r>
    </w:p>
    <w:p>
      <w:pPr>
        <w:spacing w:before="0" w:after="0"/>
        <w:ind w:left="120"/>
        <w:jc w:val="center"/>
      </w:pPr>
      <w:r>
        <w:rPr>
          <w:rFonts w:ascii="Times New Roman" w:hAnsi="Times New Roman"/>
          <w:b w:val="false"/>
          <w:i w:val="false"/>
          <w:color w:val="000000"/>
          <w:sz w:val="21"/>
        </w:rPr>
        <w:t>[Filed 9/30/77, Notice 8/24/77—published 10/19/77, effective 11/23/77]</w:t>
      </w:r>
    </w:p>
    <w:p>
      <w:pPr>
        <w:spacing w:before="0" w:after="0"/>
        <w:ind w:left="120"/>
        <w:jc w:val="center"/>
      </w:pPr>
      <w:r>
        <w:rPr>
          <w:rFonts w:ascii="Times New Roman" w:hAnsi="Times New Roman"/>
          <w:b w:val="false"/>
          <w:i w:val="false"/>
          <w:color w:val="000000"/>
          <w:sz w:val="21"/>
        </w:rPr>
        <w:t>[Filed 5/24/78, Notice 4/5/78—published 6/14/78, effective 7/19/78]</w:t>
      </w:r>
    </w:p>
    <w:p>
      <w:pPr>
        <w:spacing w:before="0" w:after="0"/>
        <w:ind w:left="120"/>
        <w:jc w:val="center"/>
      </w:pPr>
      <w:r>
        <w:rPr>
          <w:rFonts w:ascii="Times New Roman" w:hAnsi="Times New Roman"/>
          <w:b w:val="false"/>
          <w:i w:val="false"/>
          <w:color w:val="000000"/>
          <w:sz w:val="21"/>
        </w:rPr>
        <w:t>[Filed 2/12/80, Notice 10/31/79—published 3/5/80, effective 4/9/80]</w:t>
      </w:r>
    </w:p>
    <w:p>
      <w:pPr>
        <w:spacing w:before="0" w:after="0"/>
        <w:ind w:left="120"/>
        <w:jc w:val="center"/>
      </w:pPr>
      <w:r>
        <w:rPr>
          <w:rFonts w:ascii="Times New Roman" w:hAnsi="Times New Roman"/>
          <w:b w:val="false"/>
          <w:i w:val="false"/>
          <w:color w:val="000000"/>
          <w:sz w:val="21"/>
        </w:rPr>
        <w:t>[Filed 7/31/80, Notice 4/30/80—published 8/20/80, effective 9/24/80]</w:t>
      </w:r>
    </w:p>
    <w:p>
      <w:pPr>
        <w:spacing w:before="0" w:after="0"/>
        <w:ind w:left="120"/>
        <w:jc w:val="center"/>
      </w:pPr>
      <w:r>
        <w:rPr>
          <w:rFonts w:ascii="Times New Roman" w:hAnsi="Times New Roman"/>
          <w:b w:val="false"/>
          <w:i w:val="false"/>
          <w:color w:val="000000"/>
          <w:sz w:val="21"/>
        </w:rPr>
        <w:t>[Filed emergency 4/20/81—published 5/13/81, effective 4/20/81]</w:t>
      </w:r>
    </w:p>
    <w:p>
      <w:pPr>
        <w:spacing w:before="0" w:after="0"/>
        <w:ind w:left="120"/>
        <w:jc w:val="center"/>
      </w:pPr>
      <w:r>
        <w:rPr>
          <w:rFonts w:ascii="Times New Roman" w:hAnsi="Times New Roman"/>
          <w:b w:val="false"/>
          <w:i w:val="false"/>
          <w:color w:val="000000"/>
          <w:sz w:val="21"/>
        </w:rPr>
        <w:t>[Filed 11/6/81, Notice 5/13/81—published 11/25/81, effective 12/30/81]</w:t>
      </w:r>
    </w:p>
    <w:p>
      <w:pPr>
        <w:spacing w:before="0" w:after="0"/>
        <w:ind w:left="120"/>
        <w:jc w:val="center"/>
      </w:pPr>
      <w:r>
        <w:rPr>
          <w:rFonts w:ascii="Times New Roman" w:hAnsi="Times New Roman"/>
          <w:b w:val="false"/>
          <w:i w:val="false"/>
          <w:color w:val="000000"/>
          <w:sz w:val="21"/>
        </w:rPr>
        <w:t>[Filed emergency 1/10/84—published 2/1/84, effective 1/10/84]</w:t>
      </w:r>
    </w:p>
    <w:p>
      <w:pPr>
        <w:spacing w:before="0" w:after="0"/>
        <w:ind w:left="120"/>
        <w:jc w:val="center"/>
      </w:pPr>
      <w:r>
        <w:rPr>
          <w:rFonts w:ascii="Times New Roman" w:hAnsi="Times New Roman"/>
          <w:b w:val="false"/>
          <w:i w:val="false"/>
          <w:color w:val="000000"/>
          <w:sz w:val="21"/>
        </w:rPr>
        <w:t>[Filed 4/27/84, Notice 2/29/84—published 5/23/84, effective 6/28/84]</w:t>
      </w:r>
    </w:p>
    <w:p>
      <w:pPr>
        <w:spacing w:before="0" w:after="0"/>
        <w:ind w:left="120"/>
        <w:jc w:val="center"/>
      </w:pPr>
      <w:r>
        <w:rPr>
          <w:rFonts w:ascii="Times New Roman" w:hAnsi="Times New Roman"/>
          <w:b w:val="false"/>
          <w:i w:val="false"/>
          <w:color w:val="000000"/>
          <w:sz w:val="21"/>
        </w:rPr>
        <w:t>[Filed 8/24/84, Notice 6/20/84—published 9/12/84, effective 10/17/84]</w:t>
      </w:r>
    </w:p>
    <w:p>
      <w:pPr>
        <w:spacing w:before="0" w:after="0"/>
        <w:ind w:left="120"/>
        <w:jc w:val="center"/>
      </w:pPr>
      <w:r>
        <w:rPr>
          <w:rFonts w:ascii="Times New Roman" w:hAnsi="Times New Roman"/>
          <w:b w:val="false"/>
          <w:i w:val="false"/>
          <w:color w:val="000000"/>
          <w:sz w:val="21"/>
        </w:rPr>
        <w:t>[Filed emergency 7/1/86—published 7/30/86, effective 7/1/86]</w:t>
      </w:r>
    </w:p>
    <w:p>
      <w:pPr>
        <w:spacing w:before="0" w:after="0"/>
        <w:ind w:left="120"/>
        <w:jc w:val="center"/>
      </w:pPr>
      <w:r>
        <w:rPr>
          <w:rFonts w:ascii="Times New Roman" w:hAnsi="Times New Roman"/>
          <w:b w:val="false"/>
          <w:i w:val="false"/>
          <w:color w:val="000000"/>
          <w:sz w:val="21"/>
        </w:rPr>
        <w:t>[Filed emergency 9/5/86—published 9/24/86, effective 9/5/86]</w:t>
      </w:r>
    </w:p>
    <w:p>
      <w:pPr>
        <w:spacing w:before="0" w:after="0"/>
        <w:ind w:left="120"/>
        <w:jc w:val="center"/>
      </w:pPr>
      <w:r>
        <w:rPr>
          <w:rFonts w:ascii="Times New Roman" w:hAnsi="Times New Roman"/>
          <w:b w:val="false"/>
          <w:i w:val="false"/>
          <w:color w:val="000000"/>
          <w:sz w:val="21"/>
        </w:rPr>
        <w:t>[Filed emergency 10/1/86—published 10/22/86, effective 10/1/86]</w:t>
      </w:r>
    </w:p>
    <w:p>
      <w:pPr>
        <w:spacing w:before="0" w:after="0"/>
        <w:ind w:left="120"/>
        <w:jc w:val="center"/>
      </w:pPr>
      <w:r>
        <w:rPr>
          <w:rFonts w:ascii="Times New Roman" w:hAnsi="Times New Roman"/>
          <w:b w:val="false"/>
          <w:i w:val="false"/>
          <w:color w:val="000000"/>
          <w:sz w:val="21"/>
        </w:rPr>
        <w:t>[Filed 12/8/86, Notice 10/22/86—published 12/31/86, effective 2/4/87]</w:t>
      </w:r>
    </w:p>
    <w:p>
      <w:pPr>
        <w:spacing w:before="0" w:after="0"/>
        <w:ind w:left="120"/>
        <w:jc w:val="center"/>
      </w:pPr>
      <w:r>
        <w:rPr>
          <w:rFonts w:ascii="Times New Roman" w:hAnsi="Times New Roman"/>
          <w:b w:val="false"/>
          <w:i w:val="false"/>
          <w:color w:val="000000"/>
          <w:sz w:val="21"/>
        </w:rPr>
        <w:t>[Filed emergency 6/12/87—published 7/1/87, effective 7/1/87]</w:t>
      </w:r>
    </w:p>
    <w:p>
      <w:pPr>
        <w:spacing w:before="0" w:after="0"/>
        <w:ind w:left="120"/>
        <w:jc w:val="center"/>
      </w:pPr>
      <w:r>
        <w:rPr>
          <w:rFonts w:ascii="Times New Roman" w:hAnsi="Times New Roman"/>
          <w:b w:val="false"/>
          <w:i w:val="false"/>
          <w:color w:val="000000"/>
          <w:sz w:val="21"/>
        </w:rPr>
        <w:t>[Filed 9/4/87, Notice 7/1/87—published 9/23/87, effective 10/28/87]</w:t>
      </w:r>
    </w:p>
    <w:p>
      <w:pPr>
        <w:spacing w:before="0" w:after="0"/>
        <w:ind w:left="120"/>
        <w:jc w:val="center"/>
      </w:pPr>
      <w:r>
        <w:rPr>
          <w:rFonts w:ascii="Times New Roman" w:hAnsi="Times New Roman"/>
          <w:b w:val="false"/>
          <w:i w:val="false"/>
          <w:color w:val="000000"/>
          <w:sz w:val="21"/>
        </w:rPr>
        <w:t>[Filed 3/31/89, Notice 2/22/89—published 4/19/89, effective 5/24/89]</w:t>
      </w:r>
    </w:p>
    <w:p>
      <w:pPr>
        <w:spacing w:before="0" w:after="0"/>
        <w:ind w:left="120"/>
        <w:jc w:val="center"/>
      </w:pPr>
      <w:r>
        <w:rPr>
          <w:rFonts w:ascii="Times New Roman" w:hAnsi="Times New Roman"/>
          <w:b w:val="false"/>
          <w:i w:val="false"/>
          <w:color w:val="000000"/>
          <w:sz w:val="21"/>
        </w:rPr>
        <w:t>[Filed 5/22/92, Notice 4/15/92—published 6/10/92, effective 7/15/92]</w:t>
      </w:r>
    </w:p>
    <w:p>
      <w:pPr>
        <w:spacing w:before="0" w:after="0"/>
        <w:ind w:left="120"/>
        <w:jc w:val="center"/>
      </w:pPr>
      <w:r>
        <w:rPr>
          <w:rFonts w:ascii="Times New Roman" w:hAnsi="Times New Roman"/>
          <w:b w:val="false"/>
          <w:i w:val="false"/>
          <w:color w:val="000000"/>
          <w:sz w:val="21"/>
        </w:rPr>
        <w:t>[Filed 10/23/92, Notice 9/16/92—published 11/11/92, effective 12/16/92]</w:t>
      </w:r>
    </w:p>
    <w:p>
      <w:pPr>
        <w:spacing w:before="0" w:after="0"/>
        <w:ind w:left="120"/>
        <w:jc w:val="center"/>
      </w:pPr>
      <w:r>
        <w:rPr>
          <w:rFonts w:ascii="Times New Roman" w:hAnsi="Times New Roman"/>
          <w:b w:val="false"/>
          <w:i w:val="false"/>
          <w:color w:val="000000"/>
          <w:sz w:val="21"/>
        </w:rPr>
        <w:t xml:space="preserve">[Transferred from 345—Ch 6 to </w:t>
      </w:r>
      <w:hyperlink r:id="rId29">
        <w:r>
          <w:rPr>
            <w:rStyle w:val="Hyperlink"/>
            <w:rFonts w:ascii="Times New Roman" w:hAnsi="Times New Roman"/>
            <w:b w:val="false"/>
            <w:i w:val="false"/>
            <w:color w:val="000000"/>
            <w:sz w:val="21"/>
          </w:rPr>
          <w:t>871—Ch 26</w:t>
        </w:r>
      </w:hyperlink>
      <w:r>
        <w:rPr>
          <w:rFonts w:ascii="Times New Roman" w:hAnsi="Times New Roman"/>
          <w:b w:val="false"/>
          <w:i w:val="false"/>
          <w:color w:val="000000"/>
          <w:sz w:val="21"/>
        </w:rPr>
        <w:t xml:space="preserve"> IAC Supplement 3/12/97]</w:t>
      </w:r>
    </w:p>
    <w:p>
      <w:pPr>
        <w:spacing w:before="0" w:after="0"/>
        <w:ind w:left="120"/>
        <w:jc w:val="center"/>
      </w:pPr>
      <w:r>
        <w:rPr>
          <w:rFonts w:ascii="Times New Roman" w:hAnsi="Times New Roman"/>
          <w:b w:val="false"/>
          <w:i w:val="false"/>
          <w:color w:val="000000"/>
          <w:sz w:val="21"/>
        </w:rPr>
        <w:t>[Filed 7/2/99, Notice 3/24/99—published 7/28/99, effective 9/1/99]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1276C</w:t>
      </w:r>
      <w:r>
        <w:rPr>
          <w:rFonts w:ascii="Times New Roman" w:hAnsi="Times New Roman"/>
          <w:b w:val="false"/>
          <w:i w:val="false"/>
          <w:color w:val="000000"/>
          <w:sz w:val="21"/>
        </w:rPr>
        <w:t xml:space="preserve"> (Notice ARC 1094C, IAB 10/16/13)</w:t>
      </w:r>
      <w:r>
        <w:rPr>
          <w:rFonts w:ascii="Times New Roman" w:hAnsi="Times New Roman"/>
          <w:b w:val="false"/>
          <w:i w:val="false"/>
          <w:color w:val="000000"/>
          <w:sz w:val="21"/>
        </w:rPr>
        <w:t>, IAB 1/8/14, effective 2/12/14]</w:t>
      </w:r>
      <w:r>
        <w:br/>
      </w:r>
      <w:r>
        <w:rPr>
          <w:rFonts w:ascii="Times New Roman" w:hAnsi="Times New Roman"/>
          <w:b w:val="false"/>
          <w:i w:val="false"/>
          <w:color w:val="000000"/>
          <w:sz w:val="21"/>
        </w:rPr>
        <w:t>[Filed ARC 1277C</w:t>
      </w:r>
      <w:r>
        <w:rPr>
          <w:rFonts w:ascii="Times New Roman" w:hAnsi="Times New Roman"/>
          <w:b w:val="false"/>
          <w:i w:val="false"/>
          <w:color w:val="000000"/>
          <w:sz w:val="21"/>
        </w:rPr>
        <w:t xml:space="preserve"> (Notice ARC 1095C, IAB 10/16/13)</w:t>
      </w:r>
      <w:r>
        <w:rPr>
          <w:rFonts w:ascii="Times New Roman" w:hAnsi="Times New Roman"/>
          <w:b w:val="false"/>
          <w:i w:val="false"/>
          <w:color w:val="000000"/>
          <w:sz w:val="21"/>
        </w:rPr>
        <w:t>, IAB 1/8/14, effective 2/12/14]</w:t>
      </w:r>
    </w:p>
    <w:p>
      <w:pPr>
        <w:spacing w:before="0" w:after="0"/>
        <w:ind w:left="120"/>
        <w:jc w:val="center"/>
      </w:pPr>
      <w:r>
        <w:rPr>
          <w:rFonts w:ascii="Times New Roman" w:hAnsi="Times New Roman"/>
          <w:b w:val="false"/>
          <w:i w:val="false"/>
          <w:color w:val="000000"/>
          <w:sz w:val="21"/>
        </w:rPr>
        <w:t>[Filed ARC 3009C</w:t>
      </w:r>
      <w:r>
        <w:rPr>
          <w:rFonts w:ascii="Times New Roman" w:hAnsi="Times New Roman"/>
          <w:b w:val="false"/>
          <w:i w:val="false"/>
          <w:color w:val="000000"/>
          <w:sz w:val="21"/>
        </w:rPr>
        <w:t xml:space="preserve"> (Notice ARC 2823C, IAB 11/23/16)</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3266C</w:t>
      </w:r>
      <w:r>
        <w:rPr>
          <w:rFonts w:ascii="Times New Roman" w:hAnsi="Times New Roman"/>
          <w:b w:val="false"/>
          <w:i w:val="false"/>
          <w:color w:val="000000"/>
          <w:sz w:val="21"/>
        </w:rPr>
        <w:t xml:space="preserve"> (Notice ARC 3137C, IAB 6/21/17)</w:t>
      </w:r>
      <w:r>
        <w:rPr>
          <w:rFonts w:ascii="Times New Roman" w:hAnsi="Times New Roman"/>
          <w:b w:val="false"/>
          <w:i w:val="false"/>
          <w:color w:val="000000"/>
          <w:sz w:val="21"/>
        </w:rPr>
        <w:t>, IAB 8/16/17, effective 9/20/17]</w:t>
      </w:r>
    </w:p>
    <w:p>
      <w:pPr>
        <w:spacing w:before="0" w:after="0"/>
        <w:ind w:left="120"/>
        <w:jc w:val="center"/>
      </w:pPr>
      <w:r>
        <w:rPr>
          <w:rFonts w:ascii="Times New Roman" w:hAnsi="Times New Roman"/>
          <w:b w:val="false"/>
          <w:i w:val="false"/>
          <w:color w:val="000000"/>
          <w:sz w:val="21"/>
        </w:rPr>
        <w:t>[Filed ARC 3343C</w:t>
      </w:r>
      <w:r>
        <w:rPr>
          <w:rFonts w:ascii="Times New Roman" w:hAnsi="Times New Roman"/>
          <w:b w:val="false"/>
          <w:i w:val="false"/>
          <w:color w:val="000000"/>
          <w:sz w:val="21"/>
        </w:rPr>
        <w:t xml:space="preserve"> (Notice ARC 3227C, IAB 8/2/17)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3530C</w:t>
      </w:r>
      <w:r>
        <w:rPr>
          <w:rFonts w:ascii="Times New Roman" w:hAnsi="Times New Roman"/>
          <w:b w:val="false"/>
          <w:i w:val="false"/>
          <w:color w:val="000000"/>
          <w:sz w:val="21"/>
        </w:rPr>
        <w:t xml:space="preserve"> (Notice ARC 3421C,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5727C</w:t>
      </w:r>
      <w:r>
        <w:rPr>
          <w:rFonts w:ascii="Times New Roman" w:hAnsi="Times New Roman"/>
          <w:b w:val="false"/>
          <w:i w:val="false"/>
          <w:color w:val="000000"/>
          <w:sz w:val="21"/>
        </w:rPr>
        <w:t xml:space="preserve"> (Notice ARC 5561C,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6893C</w:t>
      </w:r>
      <w:r>
        <w:rPr>
          <w:rFonts w:ascii="Times New Roman" w:hAnsi="Times New Roman"/>
          <w:b w:val="false"/>
          <w:i w:val="false"/>
          <w:color w:val="000000"/>
          <w:sz w:val="21"/>
        </w:rPr>
        <w:t xml:space="preserve"> (Notice ARC 6606C, IAB 10/19/22)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8688C</w:t>
      </w:r>
      <w:r>
        <w:rPr>
          <w:rFonts w:ascii="Times New Roman" w:hAnsi="Times New Roman"/>
          <w:b w:val="false"/>
          <w:i w:val="false"/>
          <w:color w:val="000000"/>
          <w:sz w:val="21"/>
        </w:rPr>
        <w:t xml:space="preserve"> (Notice ARC 8314C, IAB 10/30/24)</w:t>
      </w:r>
      <w:r>
        <w:rPr>
          <w:rFonts w:ascii="Times New Roman" w:hAnsi="Times New Roman"/>
          <w:b w:val="false"/>
          <w:i w:val="false"/>
          <w:color w:val="000000"/>
          <w:sz w:val="21"/>
        </w:rPr>
        <w:t>, IAB 12/25/24, effective 1/29/25]</w:t>
      </w:r>
    </w:p>
    <w:p>
      <w:pPr>
        <w:spacing w:before="0" w:after="0"/>
        <w:ind w:left="120"/>
        <w:jc w:val="center"/>
      </w:pPr>
      <w:r>
        <w:rPr>
          <w:rFonts w:ascii="Times New Roman" w:hAnsi="Times New Roman"/>
          <w:b w:val="false"/>
          <w:i w:val="false"/>
          <w:color w:val="000000"/>
          <w:sz w:val="21"/>
        </w:rPr>
        <w:t>[Filed ARC 0120D</w:t>
      </w:r>
      <w:r>
        <w:rPr>
          <w:rFonts w:ascii="Times New Roman" w:hAnsi="Times New Roman"/>
          <w:b w:val="false"/>
          <w:i w:val="false"/>
          <w:color w:val="000000"/>
          <w:sz w:val="21"/>
        </w:rPr>
        <w:t xml:space="preserve"> (Notice ARC 9939C, IAB 1/7/26)</w:t>
      </w:r>
      <w:r>
        <w:rPr>
          <w:rFonts w:ascii="Times New Roman" w:hAnsi="Times New Roman"/>
          <w:b w:val="false"/>
          <w:i w:val="false"/>
          <w:color w:val="000000"/>
          <w:sz w:val="21"/>
        </w:rPr>
        <w:t>, IAB 3/4/26, effective 4/8/26]</w:t>
      </w:r>
    </w:p>
    <w:p>
      <w:pPr>
        <w:pBdr>
          <w:bottom w:space="2"/>
        </w:pBdr>
        <w:spacing w:before="0" w:after="0"/>
        <w:ind w:left="120"/>
        <w:jc w:val="both"/>
      </w:pPr>
      <w:r>
        <w:rPr>
          <w:rFonts w:ascii="Times New Roman" w:hAnsi="Times New Roman"/>
          <w:b w:val="false"/>
          <w:i w:val="false"/>
          <w:color w:val="000000"/>
          <w:sz w:val="22"/>
        </w:rPr>
        <w:t xml:space="preserve">At its meeting held August 3, 1999, the Administrative Rules Review Committee voted to impose a 70-day delay on amendments published in the July 28, 1999, Iowa Administrative Bulletin as </w:t>
      </w:r>
      <w:r>
        <w:rPr>
          <w:rFonts w:ascii="Times New Roman" w:hAnsi="Times New Roman"/>
          <w:b/>
          <w:i w:val="false"/>
          <w:color w:val="000000"/>
          <w:sz w:val="22"/>
        </w:rPr>
        <w:t>ARC 9215A</w:t>
      </w:r>
      <w:r>
        <w:rPr>
          <w:rFonts w:ascii="Times New Roman" w:hAnsi="Times New Roman"/>
          <w:b w:val="false"/>
          <w:i w:val="false"/>
          <w:color w:val="000000"/>
          <w:sz w:val="22"/>
        </w:rPr>
        <w:t>.</w:t>
      </w:r>
    </w:p>
    <w:sectPr>
      <w:footerReference r:id="rId30"/>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6.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17A.10A.pdf" Type="http://schemas.openxmlformats.org/officeDocument/2006/relationships/hyperlink" Id="rId7"/>
    <Relationship TargetMode="External" Target="https://www.legis.iowa.gov/docs/iac/rule/871.26.16.pdf" Type="http://schemas.openxmlformats.org/officeDocument/2006/relationships/hyperlink" Id="rId8"/>
    <Relationship TargetMode="External" Target="https://www.legis.iowa.gov/docs/iac/rule/871.26.3.pdf" Type="http://schemas.openxmlformats.org/officeDocument/2006/relationships/hyperlink" Id="rId9"/>
    <Relationship TargetMode="External" Target="https://www.legis.iowa.gov/docs/iac/rule/871.26.3.pdf" Type="http://schemas.openxmlformats.org/officeDocument/2006/relationships/hyperlink" Id="rId10"/>
    <Relationship TargetMode="External" Target="https://www.legis.iowa.gov/docs/ico/chapter/17A.12.pdf" Type="http://schemas.openxmlformats.org/officeDocument/2006/relationships/hyperlink" Id="rId11"/>
    <Relationship TargetMode="External" Target="https://www.legis.iowa.gov/docs/ico/chapter/17A.10.pdf" Type="http://schemas.openxmlformats.org/officeDocument/2006/relationships/hyperlink" Id="rId12"/>
    <Relationship TargetMode="External" Target="https://www.legis.iowa.gov/docs/iac/rule/481.10.9.pdf" Type="http://schemas.openxmlformats.org/officeDocument/2006/relationships/hyperlink" Id="rId13"/>
    <Relationship TargetMode="External" Target="https://www.legis.iowa.gov/docs/iac/rule/481.10.17.pdf" Type="http://schemas.openxmlformats.org/officeDocument/2006/relationships/hyperlink" Id="rId14"/>
    <Relationship TargetMode="External" Target="https://www.legis.iowa.gov/docs/iac/rule/871.26.13.pdf" Type="http://schemas.openxmlformats.org/officeDocument/2006/relationships/hyperlink" Id="rId15"/>
    <Relationship TargetMode="External" Target="https://www.legis.iowa.gov/docs/iac/rule/871.26.8.pdf" Type="http://schemas.openxmlformats.org/officeDocument/2006/relationships/hyperlink" Id="rId16"/>
    <Relationship TargetMode="External" Target="https://www.legis.iowa.gov/docs/iac/rule/871.26.8.pdf" Type="http://schemas.openxmlformats.org/officeDocument/2006/relationships/hyperlink" Id="rId17"/>
    <Relationship TargetMode="External" Target="https://www.legis.iowa.gov/docs/iac/rule/481.10.23.pdf" Type="http://schemas.openxmlformats.org/officeDocument/2006/relationships/hyperlink" Id="rId18"/>
    <Relationship TargetMode="External" Target="https://www.legis.iowa.gov/docs/iac/rule/481.10.15.pdf" Type="http://schemas.openxmlformats.org/officeDocument/2006/relationships/hyperlink" Id="rId19"/>
    <Relationship TargetMode="External" Target="https://www.legis.iowa.gov/docs/iac/rule/481.10.16.pdf" Type="http://schemas.openxmlformats.org/officeDocument/2006/relationships/hyperlink" Id="rId20"/>
    <Relationship TargetMode="External" Target="https://www.legis.iowa.gov/docs/iac/rule/481.10.14.pdf" Type="http://schemas.openxmlformats.org/officeDocument/2006/relationships/hyperlink" Id="rId21"/>
    <Relationship TargetMode="External" Target="https://www.legis.iowa.gov/docs/ico/chapter/17A.13.pdf" Type="http://schemas.openxmlformats.org/officeDocument/2006/relationships/hyperlink" Id="rId22"/>
    <Relationship TargetMode="External" Target="https://www.legis.iowa.gov/docs/iac/rule/481.10.20.pdf" Type="http://schemas.openxmlformats.org/officeDocument/2006/relationships/hyperlink" Id="rId23"/>
    <Relationship TargetMode="External" Target="https://www.legis.iowa.gov/docs/ico/chapter/17A.12.pdf" Type="http://schemas.openxmlformats.org/officeDocument/2006/relationships/hyperlink" Id="rId24"/>
    <Relationship TargetMode="External" Target="https://www.legis.iowa.gov/docs/iac/rule/871.26.7.pdf" Type="http://schemas.openxmlformats.org/officeDocument/2006/relationships/hyperlink" Id="rId25"/>
    <Relationship TargetMode="External" Target="https://www.legis.iowa.gov/docs/ico/chapter/17A.14.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96.pdf" Type="http://schemas.openxmlformats.org/officeDocument/2006/relationships/hyperlink" Id="rId28"/>
    <Relationship TargetMode="External" Target="https://www.legis.iowa.gov/docs/iac/chapter/871.26.pdf" Type="http://schemas.openxmlformats.org/officeDocument/2006/relationships/hyperlink" Id="rId29"/>
    <Relationship Target="footer.xml" Type="http://schemas.openxmlformats.org/officeDocument/2006/relationships/footer"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