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TRANSMISSION OF REGISTRATION FORMS BY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821—8.1</w:t>
      </w:r>
      <w:r>
        <w:rPr>
          <w:rFonts w:ascii="Times New Roman" w:hAnsi="Times New Roman"/>
          <w:b/>
          <w:i w:val="false"/>
          <w:color w:val="000000"/>
          <w:sz w:val="22"/>
        </w:rPr>
        <w:t xml:space="preserve">(48A) </w:t>
      </w:r>
      <w:r>
        <w:rPr>
          <w:rFonts w:ascii="Times New Roman" w:hAnsi="Times New Roman"/>
          <w:b/>
          <w:i w:val="false"/>
          <w:color w:val="000000"/>
          <w:sz w:val="22"/>
        </w:rPr>
        <w:t xml:space="preserve">Transmission of electronic voter registration applications. </w:t>
      </w:r>
      <w:r>
        <w:rPr>
          <w:rFonts w:ascii="Times New Roman" w:hAnsi="Times New Roman"/>
          <w:b w:val="false"/>
          <w:i w:val="false"/>
          <w:color w:val="000000"/>
          <w:sz w:val="22"/>
        </w:rPr>
        <w:t>Every agency that registers voters in a paperless manner shall transmit a file of registration applications to the registrar on a daily basis. The file shall contain all voter registration applications collected by the agency during the previous working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2376C</w:t>
      </w:r>
      <w:r>
        <w:rPr>
          <w:rFonts w:ascii="Times New Roman" w:hAnsi="Times New Roman"/>
          <w:b w:val="false"/>
          <w:i w:val="false"/>
          <w:color w:val="000000"/>
          <w:sz w:val="16"/>
        </w:rPr>
        <w:t>, IAB 2/3/16, effective 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821—8.2</w:t>
      </w:r>
      <w:r>
        <w:rPr>
          <w:rFonts w:ascii="Times New Roman" w:hAnsi="Times New Roman"/>
          <w:b/>
          <w:i w:val="false"/>
          <w:color w:val="000000"/>
          <w:sz w:val="22"/>
        </w:rPr>
        <w:t xml:space="preserve">(48A) </w:t>
      </w:r>
      <w:r>
        <w:rPr>
          <w:rFonts w:ascii="Times New Roman" w:hAnsi="Times New Roman"/>
          <w:b/>
          <w:i w:val="false"/>
          <w:color w:val="000000"/>
          <w:sz w:val="22"/>
        </w:rPr>
        <w:t xml:space="preserve">Data elements of paperless voter registration transactions. </w:t>
      </w:r>
      <w:r>
        <w:rPr>
          <w:rFonts w:ascii="Times New Roman" w:hAnsi="Times New Roman"/>
          <w:b w:val="false"/>
          <w:i w:val="false"/>
          <w:color w:val="000000"/>
          <w:sz w:val="22"/>
        </w:rPr>
        <w:t xml:space="preserve">The file specified in rule </w:t>
      </w:r>
      <w:hyperlink r:id="rId5">
        <w:r>
          <w:rPr>
            <w:rStyle w:val="Hyperlink"/>
            <w:rFonts w:ascii="Times New Roman" w:hAnsi="Times New Roman"/>
            <w:b w:val="false"/>
            <w:i w:val="false"/>
            <w:color w:val="000000"/>
            <w:sz w:val="22"/>
          </w:rPr>
          <w:t>821—8.1</w:t>
        </w:r>
      </w:hyperlink>
      <w:r>
        <w:rPr>
          <w:rFonts w:ascii="Times New Roman" w:hAnsi="Times New Roman"/>
          <w:b w:val="false"/>
          <w:i w:val="false"/>
          <w:color w:val="000000"/>
          <w:sz w:val="22"/>
        </w:rPr>
        <w:t>(48A)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number of the county in which the applicant lives;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applicant’s Iowa driver’s license number, if the applicant has one. If not, the applicant’s Iowa department of transportation-issued nonoperator’s identification card number. If the applicant has neither, the last four digits of the applicant’s social security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applicant’s date of birth;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applicant’s gender;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applicant’s full name;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applicant’s residence address;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applicant’s mailing address, if different from the residence address;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date of the transaction;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applicant’s party affiliation, if any;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applicant’s telephone number;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 identifier of the agency receiving the application;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jurisdiction in which the applicant was previously registered to vote;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name under which the applicant was previously registered to vote;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Audit information sufficient to allow the agency to identify the transaction and retrieve and reproduce the application, including the applicant’s signature.</w:t>
      </w:r>
    </w:p>
    <w:p>
      <w:pPr>
        <w:spacing w:before="210" w:after="0"/>
        <w:ind w:left="120"/>
        <w:jc w:val="both"/>
      </w:pPr>
      <w:r>
        <w:rPr>
          <w:rFonts w:ascii="Times New Roman" w:hAnsi="Times New Roman"/>
          <w:b/>
          <w:i w:val="false"/>
          <w:color w:val="000000"/>
          <w:sz w:val="22"/>
        </w:rPr>
        <w:t>821—8.3</w:t>
      </w:r>
      <w:r>
        <w:rPr>
          <w:rFonts w:ascii="Times New Roman" w:hAnsi="Times New Roman"/>
          <w:b/>
          <w:i w:val="false"/>
          <w:color w:val="000000"/>
          <w:sz w:val="22"/>
        </w:rPr>
        <w:t xml:space="preserve">(48A) </w:t>
      </w:r>
      <w:r>
        <w:rPr>
          <w:rFonts w:ascii="Times New Roman" w:hAnsi="Times New Roman"/>
          <w:b/>
          <w:i w:val="false"/>
          <w:color w:val="000000"/>
          <w:sz w:val="22"/>
        </w:rPr>
        <w:t xml:space="preserve">File specifications. </w:t>
      </w:r>
      <w:r>
        <w:rPr>
          <w:rFonts w:ascii="Times New Roman" w:hAnsi="Times New Roman"/>
          <w:b w:val="false"/>
          <w:i w:val="false"/>
          <w:color w:val="000000"/>
          <w:sz w:val="22"/>
        </w:rPr>
        <w:t>Technical requirements, including the record format, and the method of file transfer, shall be decided upon and agreed to by the registrar and the agency submitting electronic voter registration data.</w:t>
      </w:r>
    </w:p>
    <w:p>
      <w:pPr>
        <w:spacing w:before="210" w:after="0"/>
        <w:ind w:left="120"/>
        <w:jc w:val="both"/>
      </w:pPr>
      <w:r>
        <w:rPr>
          <w:rFonts w:ascii="Times New Roman" w:hAnsi="Times New Roman"/>
          <w:b/>
          <w:i w:val="false"/>
          <w:color w:val="000000"/>
          <w:sz w:val="22"/>
        </w:rPr>
        <w:t>821—8.4</w:t>
      </w:r>
      <w:r>
        <w:rPr>
          <w:rFonts w:ascii="Times New Roman" w:hAnsi="Times New Roman"/>
          <w:b/>
          <w:i w:val="false"/>
          <w:color w:val="000000"/>
          <w:sz w:val="22"/>
        </w:rPr>
        <w:t xml:space="preserve">(48A) </w:t>
      </w:r>
      <w:r>
        <w:rPr>
          <w:rFonts w:ascii="Times New Roman" w:hAnsi="Times New Roman"/>
          <w:b/>
          <w:i w:val="false"/>
          <w:color w:val="000000"/>
          <w:sz w:val="22"/>
        </w:rPr>
        <w:t xml:space="preserve">Technical requirements for electronic signatures. </w:t>
      </w:r>
      <w:r>
        <w:rPr>
          <w:rFonts w:ascii="Times New Roman" w:hAnsi="Times New Roman"/>
          <w:b w:val="false"/>
          <w:i w:val="false"/>
          <w:color w:val="000000"/>
          <w:sz w:val="22"/>
        </w:rPr>
        <w:t>Agencies which accept and collect paperless voter registration transactions shall maintain an electronic “copy” of the document, including the applicant’s signature. The design of the system shall be such that no change to the document can be made and the document can be reproduced in hard copy when necessary.</w:t>
      </w:r>
    </w:p>
    <w:p>
      <w:pPr>
        <w:spacing w:before="0" w:after="0"/>
        <w:ind w:left="120"/>
        <w:jc w:val="both"/>
      </w:pPr>
      <w:r>
        <w:rPr>
          <w:rFonts w:ascii="Times New Roman" w:hAnsi="Times New Roman"/>
          <w:b/>
          <w:i w:val="false"/>
          <w:color w:val="000000"/>
          <w:sz w:val="22"/>
        </w:rPr>
        <w:t>821—8.5</w:t>
      </w:r>
      <w:r>
        <w:rPr>
          <w:rFonts w:ascii="Times New Roman" w:hAnsi="Times New Roman"/>
          <w:b/>
          <w:i w:val="false"/>
          <w:color w:val="000000"/>
          <w:sz w:val="22"/>
        </w:rPr>
        <w:t xml:space="preserve">(48A) </w:t>
      </w:r>
      <w:r>
        <w:rPr>
          <w:rFonts w:ascii="Times New Roman" w:hAnsi="Times New Roman"/>
          <w:b/>
          <w:i w:val="false"/>
          <w:color w:val="000000"/>
          <w:sz w:val="22"/>
        </w:rPr>
        <w:t xml:space="preserve">Transmission of paper voter registration forms. </w:t>
      </w:r>
      <w:r>
        <w:rPr>
          <w:rFonts w:ascii="Times New Roman" w:hAnsi="Times New Roman"/>
          <w:b w:val="false"/>
          <w:i w:val="false"/>
          <w:color w:val="000000"/>
          <w:sz w:val="22"/>
        </w:rPr>
        <w:t>Voter registration applications or changes accepted on paper documents by agencies shall be sent to the appropriate county commissioner by courier, U.S. mail, or other reliable carrier not later than the Friday of the week in which the document is received by the agency. Nothing in these rules shall be construed to require an agency to be open for business on the last day of registration for an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6199C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48A.11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7/16/04, Notice 6/9/04—published 8/4/04, effective 9/10/04]</w:t>
      </w:r>
    </w:p>
    <w:p>
      <w:pPr>
        <w:spacing w:before="0" w:after="0"/>
        <w:ind w:left="120"/>
        <w:jc w:val="center"/>
      </w:pPr>
      <w:r>
        <w:rPr>
          <w:rFonts w:ascii="Times New Roman" w:hAnsi="Times New Roman"/>
          <w:b w:val="false"/>
          <w:i w:val="false"/>
          <w:color w:val="000000"/>
          <w:sz w:val="21"/>
        </w:rPr>
        <w:t>[Filed Emergency After Notice ARC 2376C</w:t>
      </w:r>
      <w:r>
        <w:rPr>
          <w:rFonts w:ascii="Times New Roman" w:hAnsi="Times New Roman"/>
          <w:b w:val="false"/>
          <w:i w:val="false"/>
          <w:color w:val="000000"/>
          <w:sz w:val="21"/>
        </w:rPr>
        <w:t xml:space="preserve"> (Notice ARC 2160C, IAB 9/30/15; </w:t>
      </w:r>
      <w:r>
        <w:rPr>
          <w:rFonts w:ascii="Times New Roman" w:hAnsi="Times New Roman"/>
          <w:b w:val="false"/>
          <w:i w:val="false"/>
          <w:color w:val="000000"/>
          <w:sz w:val="21"/>
        </w:rPr>
        <w:t>Amended Notice ARC 2246C, IAB 11/25/15)</w:t>
      </w:r>
      <w:r>
        <w:rPr>
          <w:rFonts w:ascii="Times New Roman" w:hAnsi="Times New Roman"/>
          <w:b w:val="false"/>
          <w:i w:val="false"/>
          <w:color w:val="000000"/>
          <w:sz w:val="21"/>
        </w:rPr>
        <w:t>, IAB 2/3/16, effective 1/5/16]</w:t>
      </w:r>
    </w:p>
    <w:p>
      <w:pPr>
        <w:spacing w:before="0" w:after="0"/>
        <w:ind w:left="120"/>
        <w:jc w:val="center"/>
      </w:pPr>
      <w:r>
        <w:rPr>
          <w:rFonts w:ascii="Times New Roman" w:hAnsi="Times New Roman"/>
          <w:b w:val="false"/>
          <w:i w:val="false"/>
          <w:color w:val="000000"/>
          <w:sz w:val="21"/>
        </w:rPr>
        <w:t>[Filed ARC 6199C</w:t>
      </w:r>
      <w:r>
        <w:rPr>
          <w:rFonts w:ascii="Times New Roman" w:hAnsi="Times New Roman"/>
          <w:b w:val="false"/>
          <w:i w:val="false"/>
          <w:color w:val="000000"/>
          <w:sz w:val="21"/>
        </w:rPr>
        <w:t xml:space="preserve"> (Notice ARC 6005C, IAB 10/20/21)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21.8.1.pdf" Type="http://schemas.openxmlformats.org/officeDocument/2006/relationships/hyperlink" Id="rId5"/>
    <Relationship TargetMode="External" Target="https://www.legis.iowa.gov/docs/ico/chapter/48A.11.pdf" Type="http://schemas.openxmlformats.org/officeDocument/2006/relationships/hyperlink" Id="rId6"/>
    <Relationship TargetMode="External" Target="https://www.legis.iowa.gov/docs/ico/chapter/48A.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