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DATA PROCESSING SYSTEM REQUIREMENTS FOR VOTER REGISTRATION</w:t>
      </w:r>
    </w:p>
    <w:p>
      <w:pPr>
        <w:spacing w:before="0" w:after="0"/>
        <w:ind w:left="120"/>
        <w:jc w:val="center"/>
      </w:pPr>
      <w:r>
        <w:rPr>
          <w:rFonts w:ascii="Times New Roman" w:hAnsi="Times New Roman"/>
          <w:b w:val="false"/>
          <w:i w:val="false"/>
          <w:color w:val="000000"/>
          <w:sz w:val="14"/>
        </w:rPr>
        <w:t>[Prior to 3/21/90, see Voter Registration Commission[845],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821—6.1</w:t>
      </w:r>
      <w:r>
        <w:rPr>
          <w:rFonts w:ascii="Times New Roman" w:hAnsi="Times New Roman"/>
          <w:b/>
          <w:i w:val="false"/>
          <w:color w:val="000000"/>
          <w:sz w:val="22"/>
        </w:rPr>
        <w:t xml:space="preserve">(47) </w:t>
      </w:r>
      <w:r>
        <w:rPr>
          <w:rFonts w:ascii="Times New Roman" w:hAnsi="Times New Roman"/>
          <w:b/>
          <w:i w:val="false"/>
          <w:color w:val="000000"/>
          <w:sz w:val="22"/>
        </w:rPr>
        <w:t xml:space="preserve">Statewide voter registration system requirements. </w:t>
      </w:r>
      <w:r>
        <w:rPr>
          <w:rFonts w:ascii="Times New Roman" w:hAnsi="Times New Roman"/>
          <w:b w:val="false"/>
          <w:i w:val="false"/>
          <w:color w:val="000000"/>
          <w:sz w:val="22"/>
        </w:rPr>
        <w:t>Every county commissioner is required to use the statewide voter registration system maintained by the state registrar for voter registration and election management purposes. The statewide voter registration system shall enable the county commissioner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w:t>
      </w:r>
      <w:r>
        <w:rPr>
          <w:rFonts w:ascii="Times New Roman" w:hAnsi="Times New Roman"/>
          <w:b w:val="false"/>
          <w:i w:val="false"/>
          <w:color w:val="000000"/>
          <w:sz w:val="22"/>
        </w:rPr>
        <w:t> </w:t>
      </w:r>
      <w:r>
        <w:rPr>
          <w:rFonts w:ascii="Times New Roman" w:hAnsi="Times New Roman"/>
          <w:b w:val="false"/>
          <w:i w:val="false"/>
          <w:color w:val="000000"/>
          <w:sz w:val="22"/>
        </w:rPr>
        <w:t>Create a file of all registered voters in the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w:t>
      </w:r>
      <w:r>
        <w:rPr>
          <w:rFonts w:ascii="Times New Roman" w:hAnsi="Times New Roman"/>
          <w:b w:val="false"/>
          <w:i w:val="false"/>
          <w:color w:val="000000"/>
          <w:sz w:val="22"/>
        </w:rPr>
        <w:t> </w:t>
      </w:r>
      <w:r>
        <w:rPr>
          <w:rFonts w:ascii="Times New Roman" w:hAnsi="Times New Roman"/>
          <w:b w:val="false"/>
          <w:i w:val="false"/>
          <w:color w:val="000000"/>
          <w:sz w:val="22"/>
        </w:rPr>
        <w:t>Automatically identify and post all election districts, including school district and director district (if applicable), area college district and director district, municipality or township, and precinct, and any applicable special districts, to every voter registration record which contains a street number and street name in the residence address fields.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w:t>
      </w:r>
      <w:r>
        <w:rPr>
          <w:rFonts w:ascii="Times New Roman" w:hAnsi="Times New Roman"/>
          <w:b w:val="false"/>
          <w:i w:val="false"/>
          <w:color w:val="000000"/>
          <w:sz w:val="22"/>
        </w:rPr>
        <w:t> </w:t>
      </w:r>
      <w:r>
        <w:rPr>
          <w:rFonts w:ascii="Times New Roman" w:hAnsi="Times New Roman"/>
          <w:b w:val="false"/>
          <w:i w:val="false"/>
          <w:color w:val="000000"/>
          <w:sz w:val="22"/>
        </w:rPr>
        <w:t>Ensure the uniform spelling of street names in all records containing street names, such that the records of all voters whose residence addresses share a street name contain a common spelling of that street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w:t>
      </w:r>
      <w:r>
        <w:rPr>
          <w:rFonts w:ascii="Times New Roman" w:hAnsi="Times New Roman"/>
          <w:b w:val="false"/>
          <w:i w:val="false"/>
          <w:color w:val="000000"/>
          <w:sz w:val="22"/>
        </w:rPr>
        <w:t> </w:t>
      </w:r>
      <w:r>
        <w:rPr>
          <w:rFonts w:ascii="Times New Roman" w:hAnsi="Times New Roman"/>
          <w:b w:val="false"/>
          <w:i w:val="false"/>
          <w:color w:val="000000"/>
          <w:sz w:val="22"/>
        </w:rPr>
        <w:t>Ensure the uniform spelling of city names, such that the records of all voters whose residence addresses share a city name contain a common spelling of that city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w:t>
      </w:r>
      <w:r>
        <w:rPr>
          <w:rFonts w:ascii="Times New Roman" w:hAnsi="Times New Roman"/>
          <w:b w:val="false"/>
          <w:i w:val="false"/>
          <w:color w:val="000000"/>
          <w:sz w:val="22"/>
        </w:rPr>
        <w:t> </w:t>
      </w:r>
      <w:r>
        <w:rPr>
          <w:rFonts w:ascii="Times New Roman" w:hAnsi="Times New Roman"/>
          <w:b w:val="false"/>
          <w:i w:val="false"/>
          <w:color w:val="000000"/>
          <w:sz w:val="22"/>
        </w:rPr>
        <w:t>Prevent duplicate registrations for a given individual. For the purpose of this subrule, a duplicate registration is one which contains the same information in the Iowa driver’s license number, Iowa nonoperator’s identification number, last four digits of the applicant’s social security number, birth date and sex code fields as another record in the same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w:t>
      </w:r>
      <w:r>
        <w:rPr>
          <w:rFonts w:ascii="Times New Roman" w:hAnsi="Times New Roman"/>
          <w:b w:val="false"/>
          <w:i w:val="false"/>
          <w:color w:val="000000"/>
          <w:sz w:val="22"/>
        </w:rPr>
        <w:t> </w:t>
      </w:r>
      <w:r>
        <w:rPr>
          <w:rFonts w:ascii="Times New Roman" w:hAnsi="Times New Roman"/>
          <w:b w:val="false"/>
          <w:i w:val="false"/>
          <w:color w:val="000000"/>
          <w:sz w:val="22"/>
        </w:rPr>
        <w:t>Ensure the compatibility of election districts manually assigned to records with nonstandard addresses.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w:t>
      </w:r>
      <w:r>
        <w:rPr>
          <w:rFonts w:ascii="Times New Roman" w:hAnsi="Times New Roman"/>
          <w:b w:val="false"/>
          <w:i w:val="false"/>
          <w:color w:val="000000"/>
          <w:sz w:val="22"/>
        </w:rPr>
        <w:t> </w:t>
      </w:r>
      <w:r>
        <w:rPr>
          <w:rFonts w:ascii="Times New Roman" w:hAnsi="Times New Roman"/>
          <w:b w:val="false"/>
          <w:i w:val="false"/>
          <w:color w:val="000000"/>
          <w:sz w:val="22"/>
        </w:rPr>
        <w:t>Ensure that numeric fields in records contain only numeric data, and that alphabetic fields contain only alphabetic data, except that the field for last name may contain one hyphen.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w:t>
      </w:r>
      <w:r>
        <w:rPr>
          <w:rFonts w:ascii="Times New Roman" w:hAnsi="Times New Roman"/>
          <w:b w:val="false"/>
          <w:i w:val="false"/>
          <w:color w:val="000000"/>
          <w:sz w:val="22"/>
        </w:rPr>
        <w:t> </w:t>
      </w:r>
      <w:r>
        <w:rPr>
          <w:rFonts w:ascii="Times New Roman" w:hAnsi="Times New Roman"/>
          <w:b w:val="false"/>
          <w:i w:val="false"/>
          <w:color w:val="000000"/>
          <w:sz w:val="22"/>
        </w:rPr>
        <w:t>Ensure that all dates are reasonable, e.g., birth date, county registration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w:t>
      </w:r>
      <w:r>
        <w:rPr>
          <w:rFonts w:ascii="Times New Roman" w:hAnsi="Times New Roman"/>
          <w:b w:val="false"/>
          <w:i w:val="false"/>
          <w:color w:val="000000"/>
          <w:sz w:val="22"/>
        </w:rPr>
        <w:t> </w:t>
      </w:r>
      <w:r>
        <w:rPr>
          <w:rFonts w:ascii="Times New Roman" w:hAnsi="Times New Roman"/>
          <w:b w:val="false"/>
          <w:i w:val="false"/>
          <w:color w:val="000000"/>
          <w:sz w:val="22"/>
        </w:rPr>
        <w:t>Ensure that the ZIP code contained in the record is compatible with the city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6.1(10)</w:t>
      </w:r>
      <w:r>
        <w:rPr>
          <w:rFonts w:ascii="Times New Roman" w:hAnsi="Times New Roman"/>
          <w:b w:val="false"/>
          <w:i w:val="false"/>
          <w:color w:val="000000"/>
          <w:sz w:val="22"/>
        </w:rPr>
        <w:t> </w:t>
      </w:r>
      <w:r>
        <w:rPr>
          <w:rFonts w:ascii="Times New Roman" w:hAnsi="Times New Roman"/>
          <w:b w:val="false"/>
          <w:i w:val="false"/>
          <w:color w:val="000000"/>
          <w:sz w:val="22"/>
        </w:rPr>
        <w:t>Assign a unique identification number, in lieu of an identification number, to records of voters whose registration forms indicate the voter does not have any of the requested identification numbers.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w:t>
      </w:r>
      <w:r>
        <w:rPr>
          <w:rFonts w:ascii="Times New Roman" w:hAnsi="Times New Roman"/>
          <w:b w:val="false"/>
          <w:i w:val="false"/>
          <w:color w:val="000000"/>
          <w:sz w:val="22"/>
        </w:rPr>
        <w:t> </w:t>
      </w:r>
      <w:r>
        <w:rPr>
          <w:rFonts w:ascii="Times New Roman" w:hAnsi="Times New Roman"/>
          <w:b w:val="false"/>
          <w:i w:val="false"/>
          <w:color w:val="000000"/>
          <w:sz w:val="22"/>
        </w:rPr>
        <w:t>Allow the capture, retention and reporting of a mailing address different than the residence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w:t>
      </w:r>
      <w:r>
        <w:rPr>
          <w:rFonts w:ascii="Times New Roman" w:hAnsi="Times New Roman"/>
          <w:b w:val="false"/>
          <w:i w:val="false"/>
          <w:color w:val="000000"/>
          <w:sz w:val="22"/>
        </w:rPr>
        <w:t> </w:t>
      </w:r>
      <w:r>
        <w:rPr>
          <w:rFonts w:ascii="Times New Roman" w:hAnsi="Times New Roman"/>
          <w:b w:val="false"/>
          <w:i w:val="false"/>
          <w:color w:val="000000"/>
          <w:sz w:val="22"/>
        </w:rPr>
        <w:t>Create election registers which contain the names of all voters eligible to vote at a polling place, and no others, for any type of election the commissioner is required to conduct, except annexation and other elections when creation or change of an election district is proposed.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6.1(13)</w:t>
      </w:r>
      <w:r>
        <w:rPr>
          <w:rFonts w:ascii="Times New Roman" w:hAnsi="Times New Roman"/>
          <w:b w:val="false"/>
          <w:i w:val="false"/>
          <w:color w:val="000000"/>
          <w:sz w:val="22"/>
        </w:rPr>
        <w:t> </w:t>
      </w:r>
      <w:r>
        <w:rPr>
          <w:rFonts w:ascii="Times New Roman" w:hAnsi="Times New Roman"/>
          <w:b w:val="false"/>
          <w:i w:val="false"/>
          <w:color w:val="000000"/>
          <w:sz w:val="22"/>
        </w:rPr>
        <w:t>Create election registers which identify those voters who are eligible to vote on an issue or for an office at a polling place when some, but not all, voters are eligible to cast a ballot on that issue or for that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w:t>
      </w:r>
      <w:r>
        <w:rPr>
          <w:rFonts w:ascii="Times New Roman" w:hAnsi="Times New Roman"/>
          <w:b w:val="false"/>
          <w:i w:val="false"/>
          <w:color w:val="000000"/>
          <w:sz w:val="22"/>
        </w:rPr>
        <w:t> </w:t>
      </w:r>
      <w:r>
        <w:rPr>
          <w:rFonts w:ascii="Times New Roman" w:hAnsi="Times New Roman"/>
          <w:b w:val="false"/>
          <w:i w:val="false"/>
          <w:color w:val="000000"/>
          <w:sz w:val="22"/>
        </w:rPr>
        <w:t>Receive maintenance files collected from various agencies by the state registrar.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47.7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11/22/77, Notice 10/5/77—published 12/14/77, effective 1/18/78]</w:t>
      </w:r>
    </w:p>
    <w:p>
      <w:pPr>
        <w:spacing w:before="0" w:after="0"/>
        <w:ind w:left="120"/>
        <w:jc w:val="center"/>
      </w:pPr>
      <w:r>
        <w:rPr>
          <w:rFonts w:ascii="Times New Roman" w:hAnsi="Times New Roman"/>
          <w:b w:val="false"/>
          <w:i w:val="false"/>
          <w:color w:val="000000"/>
          <w:sz w:val="21"/>
        </w:rPr>
        <w:t>[Filed 8/30/89, Notice 4/5/89—published 9/20/89, effective 10/25/89]</w:t>
      </w:r>
    </w:p>
    <w:p>
      <w:pPr>
        <w:spacing w:before="0" w:after="0"/>
        <w:ind w:left="120"/>
        <w:jc w:val="center"/>
      </w:pPr>
      <w:r>
        <w:rPr>
          <w:rFonts w:ascii="Times New Roman" w:hAnsi="Times New Roman"/>
          <w:b w:val="false"/>
          <w:i w:val="false"/>
          <w:color w:val="000000"/>
          <w:sz w:val="21"/>
        </w:rPr>
        <w:t>[Filed 3/1/90, Notice 9/6/89—published 3/21/90, effective 4/25/90]</w:t>
      </w:r>
    </w:p>
    <w:p>
      <w:pPr>
        <w:spacing w:before="0" w:after="0"/>
        <w:ind w:left="120"/>
        <w:jc w:val="center"/>
      </w:pPr>
      <w:r>
        <w:rPr>
          <w:rFonts w:ascii="Times New Roman" w:hAnsi="Times New Roman"/>
          <w:b w:val="false"/>
          <w:i w:val="false"/>
          <w:color w:val="000000"/>
          <w:sz w:val="21"/>
        </w:rPr>
        <w:t>[Filed 11/4/94, Notice 9/28/94—published 11/23/94, effective 1/5/95]</w:t>
      </w:r>
    </w:p>
    <w:p>
      <w:pPr>
        <w:spacing w:before="0" w:after="0"/>
        <w:ind w:left="120"/>
        <w:jc w:val="center"/>
      </w:pPr>
      <w:r>
        <w:rPr>
          <w:rFonts w:ascii="Times New Roman" w:hAnsi="Times New Roman"/>
          <w:b w:val="false"/>
          <w:i w:val="false"/>
          <w:color w:val="000000"/>
          <w:sz w:val="21"/>
        </w:rPr>
        <w:t>[Filed Emergency ARC 7883B, IAB 7/1/09, effective 7/1/09]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7.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