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LISTS OF REGISTERED VOTERS</w:t>
      </w:r>
    </w:p>
    <w:p>
      <w:pPr>
        <w:spacing w:before="0" w:after="0"/>
        <w:ind w:left="120"/>
        <w:jc w:val="center"/>
      </w:pPr>
      <w:r>
        <w:rPr>
          <w:rFonts w:ascii="Times New Roman" w:hAnsi="Times New Roman"/>
          <w:b w:val="false"/>
          <w:i w:val="false"/>
          <w:color w:val="000000"/>
          <w:sz w:val="14"/>
        </w:rPr>
        <w:t>[Prior to 3/21/90, see Voter Registration Commission[845],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821—3.1</w:t>
      </w:r>
      <w:r>
        <w:rPr>
          <w:rFonts w:ascii="Times New Roman" w:hAnsi="Times New Roman"/>
          <w:b/>
          <w:i w:val="false"/>
          <w:color w:val="000000"/>
          <w:sz w:val="22"/>
        </w:rPr>
        <w:t xml:space="preserve">(48A) </w:t>
      </w:r>
      <w:r>
        <w:rPr>
          <w:rFonts w:ascii="Times New Roman" w:hAnsi="Times New Roman"/>
          <w:b/>
          <w:i w:val="false"/>
          <w:color w:val="000000"/>
          <w:sz w:val="22"/>
        </w:rPr>
        <w:t xml:space="preserve">List defined. </w:t>
      </w:r>
      <w:r>
        <w:rPr>
          <w:rFonts w:ascii="Times New Roman" w:hAnsi="Times New Roman"/>
          <w:b w:val="false"/>
          <w:i w:val="false"/>
          <w:color w:val="000000"/>
          <w:sz w:val="22"/>
        </w:rPr>
        <w:t>For the purposes of this rule, a “list” of registered voters is any information from one or more voter registration records related to any individual or group of registered voters. Statistical data containing no personally identifiable information is not a “list.”</w:t>
      </w:r>
    </w:p>
    <w:p>
      <w:pPr>
        <w:spacing w:before="0" w:after="0"/>
        <w:ind w:left="120"/>
        <w:jc w:val="both"/>
      </w:pPr>
      <w:r>
        <w:rPr>
          <w:rFonts w:ascii="Times New Roman" w:hAnsi="Times New Roman"/>
          <w:b/>
          <w:i w:val="false"/>
          <w:color w:val="000000"/>
          <w:sz w:val="22"/>
        </w:rPr>
        <w:t>821—3.2</w:t>
      </w:r>
      <w:r>
        <w:rPr>
          <w:rFonts w:ascii="Times New Roman" w:hAnsi="Times New Roman"/>
          <w:b/>
          <w:i w:val="false"/>
          <w:color w:val="000000"/>
          <w:sz w:val="22"/>
        </w:rPr>
        <w:t xml:space="preserve">(48A) </w:t>
      </w:r>
      <w:r>
        <w:rPr>
          <w:rFonts w:ascii="Times New Roman" w:hAnsi="Times New Roman"/>
          <w:b/>
          <w:i w:val="false"/>
          <w:color w:val="000000"/>
          <w:sz w:val="22"/>
        </w:rPr>
        <w:t xml:space="preserve">Request for list.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 xml:space="preserve">A request for a list of registered voters may be made in writing on a Specifications for Voter List form submitted to either a county commissioner or the state registrar. A commissioner or the registrar may accept a request for a list made via telephone provided the commissioner or registrar is confident that both the requester and the commissioner or registrar clearly understand the specifics of the request and provided the requester agrees that the voter registration information will only be used for the purposes set forth in Iowa Code section </w:t>
      </w:r>
      <w:hyperlink r:id="rId5">
        <w:r>
          <w:rPr>
            <w:rStyle w:val="Hyperlink"/>
            <w:rFonts w:ascii="Times New Roman" w:hAnsi="Times New Roman"/>
            <w:b w:val="false"/>
            <w:i w:val="false"/>
            <w:color w:val="000000"/>
            <w:sz w:val="22"/>
          </w:rPr>
          <w:t>48A.39</w:t>
        </w:r>
      </w:hyperlink>
      <w:r>
        <w:rPr>
          <w:rFonts w:ascii="Times New Roman" w:hAnsi="Times New Roman"/>
          <w:b w:val="false"/>
          <w:i w:val="false"/>
          <w:color w:val="000000"/>
          <w:sz w:val="22"/>
        </w:rPr>
        <w:t>. If a request is unclear or ambiguous, the commissioner or registrar may require that the request be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The term “political purpose” means research, advocacy, or education relating to the election, administration, or governance of public policies or officials.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2521C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821—3.3</w:t>
      </w:r>
      <w:r>
        <w:rPr>
          <w:rFonts w:ascii="Times New Roman" w:hAnsi="Times New Roman"/>
          <w:b/>
          <w:i w:val="false"/>
          <w:color w:val="000000"/>
          <w:sz w:val="22"/>
        </w:rPr>
        <w:t xml:space="preserve">(48A) </w:t>
      </w:r>
      <w:r>
        <w:rPr>
          <w:rFonts w:ascii="Times New Roman" w:hAnsi="Times New Roman"/>
          <w:b/>
          <w:i w:val="false"/>
          <w:color w:val="000000"/>
          <w:sz w:val="22"/>
        </w:rPr>
        <w:t xml:space="preserve">Contents of written request. </w:t>
      </w:r>
      <w:r>
        <w:rPr>
          <w:rFonts w:ascii="Times New Roman" w:hAnsi="Times New Roman"/>
          <w:b w:val="false"/>
          <w:i w:val="false"/>
          <w:color w:val="000000"/>
          <w:sz w:val="22"/>
        </w:rPr>
        <w:t>Each written request for a list of registered voters shall contain all of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of the requester.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address of the requester.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telephone number of the requester.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description of the records to be included in the list.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description of the sequence of the records on the list.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description of the output medium for the list.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date of the request.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date the list is desired.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intended use of the list.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following signed statement: “I am aware that information from voter registration records may be used lawfully only to request a registrant’s vote, for a genuine political purpose, for bona fide political research, or for a bona fide official purpose by an elected official. I understand that using the information for any commercial purpose is a serious misdemeanor under Iowa law. I agree to pay the cost of the above ordered list upon delivery.”</w:t>
      </w:r>
    </w:p>
    <w:p>
      <w:pPr>
        <w:spacing w:before="0" w:after="0"/>
        <w:ind w:left="120"/>
        <w:jc w:val="both"/>
      </w:pPr>
      <w:r>
        <w:rPr>
          <w:rFonts w:ascii="Times New Roman" w:hAnsi="Times New Roman"/>
          <w:b/>
          <w:i w:val="false"/>
          <w:color w:val="000000"/>
          <w:sz w:val="22"/>
        </w:rPr>
        <w:t>821—3.4</w:t>
      </w:r>
      <w:r>
        <w:rPr>
          <w:rFonts w:ascii="Times New Roman" w:hAnsi="Times New Roman"/>
          <w:b/>
          <w:i w:val="false"/>
          <w:color w:val="000000"/>
          <w:sz w:val="22"/>
        </w:rPr>
        <w:t xml:space="preserve">(48A) </w:t>
      </w:r>
      <w:r>
        <w:rPr>
          <w:rFonts w:ascii="Times New Roman" w:hAnsi="Times New Roman"/>
          <w:b/>
          <w:i w:val="false"/>
          <w:color w:val="000000"/>
          <w:sz w:val="22"/>
        </w:rPr>
        <w:t xml:space="preserve">Contents of telephone request. </w:t>
      </w:r>
      <w:r>
        <w:rPr>
          <w:rFonts w:ascii="Times New Roman" w:hAnsi="Times New Roman"/>
          <w:b w:val="false"/>
          <w:i w:val="false"/>
          <w:color w:val="000000"/>
          <w:sz w:val="22"/>
        </w:rPr>
        <w:t>When a request for a list of registered voters is made by telephone, the person taking the request shall gather and record on a Specifications for Voter List form all of the information specified in 3.3“1” through 3.3“9.” In addition, the taker of the request shall read the statement in 3.3“10” to the requester. The taker of the request shall note, on the signature line of the form, the fact that the requester was read the statement. If a requester refuses to provide the requester’s identity or refuses to agree to the use restrictions for the voter registration information, the registrar or the commissioner shall not provide the requested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821—3.5</w:t>
      </w:r>
      <w:r>
        <w:rPr>
          <w:rFonts w:ascii="Times New Roman" w:hAnsi="Times New Roman"/>
          <w:b/>
          <w:i w:val="false"/>
          <w:color w:val="000000"/>
          <w:sz w:val="22"/>
        </w:rPr>
        <w:t xml:space="preserve">(48A) </w:t>
      </w:r>
      <w:r>
        <w:rPr>
          <w:rFonts w:ascii="Times New Roman" w:hAnsi="Times New Roman"/>
          <w:b/>
          <w:i w:val="false"/>
          <w:color w:val="000000"/>
          <w:sz w:val="22"/>
        </w:rPr>
        <w:t xml:space="preserve">Requests received by a county commissioner. </w:t>
      </w:r>
      <w:r>
        <w:rPr>
          <w:rFonts w:ascii="Times New Roman" w:hAnsi="Times New Roman"/>
          <w:b w:val="false"/>
          <w:i w:val="false"/>
          <w:color w:val="000000"/>
          <w:sz w:val="22"/>
        </w:rPr>
        <w:t>A request for a list of registered voters submitted to a county commissioner may be honored by that commissioner, or may be forwarded to the registrar. However, a county commissioner shall adhere to a consistent policy regarding the provision of lists. If a commissioner provides a list to any requester, the commissioner shall likewise provide lists to all requesters, provided the commissioner has the data and software necessary to meet the list request specifications. Similarly, if a commissioner refuses to provide a list for which the commissioner has the necessary data and software to any requester, the commissioner shall refuse all requests for lists of registered voters.</w:t>
      </w:r>
    </w:p>
    <w:p>
      <w:pPr>
        <w:spacing w:before="210" w:after="0"/>
        <w:ind w:left="120"/>
        <w:jc w:val="both"/>
      </w:pPr>
      <w:r>
        <w:rPr>
          <w:rFonts w:ascii="Times New Roman" w:hAnsi="Times New Roman"/>
          <w:b/>
          <w:i w:val="false"/>
          <w:color w:val="000000"/>
          <w:sz w:val="22"/>
        </w:rPr>
        <w:t>821—3.6</w:t>
      </w:r>
      <w:r>
        <w:rPr>
          <w:rFonts w:ascii="Times New Roman" w:hAnsi="Times New Roman"/>
          <w:b/>
          <w:i w:val="false"/>
          <w:color w:val="000000"/>
          <w:sz w:val="22"/>
        </w:rPr>
        <w:t xml:space="preserve">(48A) </w:t>
      </w:r>
      <w:r>
        <w:rPr>
          <w:rFonts w:ascii="Times New Roman" w:hAnsi="Times New Roman"/>
          <w:b/>
          <w:i w:val="false"/>
          <w:color w:val="000000"/>
          <w:sz w:val="22"/>
        </w:rPr>
        <w:t xml:space="preserve">Requests received by the state registrar. </w:t>
      </w:r>
      <w:r>
        <w:rPr>
          <w:rFonts w:ascii="Times New Roman" w:hAnsi="Times New Roman"/>
          <w:b w:val="false"/>
          <w:i w:val="false"/>
          <w:color w:val="000000"/>
          <w:sz w:val="22"/>
        </w:rPr>
        <w:t>Requests for lists of registered voters received by the registrar shall be honored in the order in which they are received, provided that the data necessary for compiling the list is available to the registrar. If provision of a list is delayed due to the absence of data, the registrar shall contact the list requester and explain the circumstances. The requester may choose to modify the request, cancel the request, or wait for the necessary data.</w:t>
      </w:r>
    </w:p>
    <w:p>
      <w:pPr>
        <w:spacing w:before="210" w:after="0"/>
        <w:ind w:left="120"/>
        <w:jc w:val="both"/>
      </w:pPr>
      <w:r>
        <w:rPr>
          <w:rFonts w:ascii="Times New Roman" w:hAnsi="Times New Roman"/>
          <w:b/>
          <w:i w:val="false"/>
          <w:color w:val="000000"/>
          <w:sz w:val="22"/>
        </w:rPr>
        <w:t>821—3.7</w:t>
      </w:r>
      <w:r>
        <w:rPr>
          <w:rFonts w:ascii="Times New Roman" w:hAnsi="Times New Roman"/>
          <w:b/>
          <w:i w:val="false"/>
          <w:color w:val="000000"/>
          <w:sz w:val="22"/>
        </w:rPr>
        <w:t xml:space="preserve">(48A) </w:t>
      </w:r>
      <w:r>
        <w:rPr>
          <w:rFonts w:ascii="Times New Roman" w:hAnsi="Times New Roman"/>
          <w:b/>
          <w:i w:val="false"/>
          <w:color w:val="000000"/>
          <w:sz w:val="22"/>
        </w:rPr>
        <w:t xml:space="preserve">Payment for lists required. </w:t>
      </w:r>
      <w:r>
        <w:rPr>
          <w:rFonts w:ascii="Times New Roman" w:hAnsi="Times New Roman"/>
          <w:b w:val="false"/>
          <w:i w:val="false"/>
          <w:color w:val="000000"/>
          <w:sz w:val="22"/>
        </w:rPr>
        <w:t>Notwithstanding any other provision of these rules, no list shall be provided to a requester who has not paid for all previously requested and completed lists. Payment shall be made at the time the list is delivered, except that payment for lists ordered by political subdivisions of the state may be made within 60 days of delivery. A county commissioner or registrar may require an advance payment of 80 percent of the estimated cost of a list if the estimated cost is $1000 or more.</w:t>
      </w:r>
    </w:p>
    <w:p>
      <w:pPr>
        <w:spacing w:before="210" w:after="0"/>
        <w:ind w:left="120"/>
        <w:jc w:val="both"/>
      </w:pPr>
      <w:r>
        <w:rPr>
          <w:rFonts w:ascii="Times New Roman" w:hAnsi="Times New Roman"/>
          <w:b/>
          <w:i w:val="false"/>
          <w:color w:val="000000"/>
          <w:sz w:val="22"/>
        </w:rPr>
        <w:t>821—3.8</w:t>
      </w:r>
      <w:r>
        <w:rPr>
          <w:rFonts w:ascii="Times New Roman" w:hAnsi="Times New Roman"/>
          <w:b/>
          <w:i w:val="false"/>
          <w:color w:val="000000"/>
          <w:sz w:val="22"/>
        </w:rPr>
        <w:t xml:space="preserve">(48A) </w:t>
      </w:r>
      <w:r>
        <w:rPr>
          <w:rFonts w:ascii="Times New Roman" w:hAnsi="Times New Roman"/>
          <w:b/>
          <w:i w:val="false"/>
          <w:color w:val="000000"/>
          <w:sz w:val="22"/>
        </w:rPr>
        <w:t xml:space="preserve">Confidential data. </w:t>
      </w:r>
      <w:r>
        <w:rPr>
          <w:rFonts w:ascii="Times New Roman" w:hAnsi="Times New Roman"/>
          <w:b w:val="false"/>
          <w:i w:val="false"/>
          <w:color w:val="000000"/>
          <w:sz w:val="22"/>
        </w:rPr>
        <w:t>Nothing in these rules shall be construed to authorize or require any county commissioner or the registrar to disclose any information made confidential by the National Voter Registration Act of 1993 or any other federal or state law.</w:t>
      </w:r>
    </w:p>
    <w:p>
      <w:pPr>
        <w:spacing w:before="210" w:after="0"/>
        <w:ind w:left="120"/>
        <w:jc w:val="both"/>
      </w:pPr>
      <w:r>
        <w:rPr>
          <w:rFonts w:ascii="Times New Roman" w:hAnsi="Times New Roman"/>
          <w:b/>
          <w:i w:val="false"/>
          <w:color w:val="000000"/>
          <w:sz w:val="22"/>
        </w:rPr>
        <w:t>821—3.9</w:t>
      </w:r>
      <w:r>
        <w:rPr>
          <w:rFonts w:ascii="Times New Roman" w:hAnsi="Times New Roman"/>
          <w:b/>
          <w:i w:val="false"/>
          <w:color w:val="000000"/>
          <w:sz w:val="22"/>
        </w:rPr>
        <w:t xml:space="preserve">(48A) </w:t>
      </w:r>
      <w:r>
        <w:rPr>
          <w:rFonts w:ascii="Times New Roman" w:hAnsi="Times New Roman"/>
          <w:b/>
          <w:i w:val="false"/>
          <w:color w:val="000000"/>
          <w:sz w:val="22"/>
        </w:rPr>
        <w:t xml:space="preserve">List of a person’s own voter registration record. </w:t>
      </w:r>
      <w:r>
        <w:rPr>
          <w:rFonts w:ascii="Times New Roman" w:hAnsi="Times New Roman"/>
          <w:b w:val="false"/>
          <w:i w:val="false"/>
          <w:color w:val="000000"/>
          <w:sz w:val="22"/>
        </w:rPr>
        <w:t>Nothing in these rules shall be construed to prohibit any person from viewing that person’s own voter registration record, including any confidential data associated with it.</w:t>
      </w:r>
    </w:p>
    <w:p>
      <w:pPr>
        <w:spacing w:before="0" w:after="0"/>
        <w:ind w:left="120"/>
        <w:jc w:val="both"/>
      </w:pPr>
      <w:r>
        <w:rPr>
          <w:rFonts w:ascii="Times New Roman" w:hAnsi="Times New Roman"/>
          <w:b/>
          <w:i w:val="false"/>
          <w:color w:val="000000"/>
          <w:sz w:val="22"/>
        </w:rPr>
        <w:t>821—3.10</w:t>
      </w:r>
      <w:r>
        <w:rPr>
          <w:rFonts w:ascii="Times New Roman" w:hAnsi="Times New Roman"/>
          <w:b/>
          <w:i w:val="false"/>
          <w:color w:val="000000"/>
          <w:sz w:val="22"/>
        </w:rPr>
        <w:t xml:space="preserve">(48A) </w:t>
      </w:r>
      <w:r>
        <w:rPr>
          <w:rFonts w:ascii="Times New Roman" w:hAnsi="Times New Roman"/>
          <w:b/>
          <w:i w:val="false"/>
          <w:color w:val="000000"/>
          <w:sz w:val="22"/>
        </w:rPr>
        <w:t xml:space="preserve">Driver’s license numbers. </w:t>
      </w:r>
      <w:r>
        <w:rPr>
          <w:rFonts w:ascii="Times New Roman" w:hAnsi="Times New Roman"/>
          <w:b w:val="false"/>
          <w:i w:val="false"/>
          <w:color w:val="000000"/>
          <w:sz w:val="22"/>
        </w:rPr>
        <w:t xml:space="preserve">The county commissioner of registration and the state registrar of voters shall remove a voter’s department of transportation-issued driver’s license number, nonoperator’s identification card number, voter identification number, or whole or partial social security number from a voter registration list prepared pursuant to Iowa Code section </w:t>
      </w:r>
      <w:hyperlink r:id="rId6">
        <w:r>
          <w:rPr>
            <w:rStyle w:val="Hyperlink"/>
            <w:rFonts w:ascii="Times New Roman" w:hAnsi="Times New Roman"/>
            <w:b w:val="false"/>
            <w:i w:val="false"/>
            <w:color w:val="000000"/>
            <w:sz w:val="22"/>
          </w:rPr>
          <w:t>48A.38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3454C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48A.38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6/2/76—published 6/28/76, effective 6/2/76]</w:t>
      </w:r>
    </w:p>
    <w:p>
      <w:pPr>
        <w:spacing w:before="0" w:after="0"/>
        <w:ind w:left="120"/>
        <w:jc w:val="center"/>
      </w:pPr>
      <w:r>
        <w:rPr>
          <w:rFonts w:ascii="Times New Roman" w:hAnsi="Times New Roman"/>
          <w:b w:val="false"/>
          <w:i w:val="false"/>
          <w:color w:val="000000"/>
          <w:sz w:val="21"/>
        </w:rPr>
        <w:t>[Filed emergency 9/2/76—published 9/22/76, effective 9/2/76]</w:t>
      </w:r>
    </w:p>
    <w:p>
      <w:pPr>
        <w:spacing w:before="0" w:after="0"/>
        <w:ind w:left="120"/>
        <w:jc w:val="center"/>
      </w:pPr>
      <w:r>
        <w:rPr>
          <w:rFonts w:ascii="Times New Roman" w:hAnsi="Times New Roman"/>
          <w:b w:val="false"/>
          <w:i w:val="false"/>
          <w:color w:val="000000"/>
          <w:sz w:val="21"/>
        </w:rPr>
        <w:t>[Filed 5/4/77, Notice 3/9/77—published 6/1/77, effective 7/6/77]</w:t>
      </w:r>
    </w:p>
    <w:p>
      <w:pPr>
        <w:spacing w:before="0" w:after="0"/>
        <w:ind w:left="120"/>
        <w:jc w:val="center"/>
      </w:pPr>
      <w:r>
        <w:rPr>
          <w:rFonts w:ascii="Times New Roman" w:hAnsi="Times New Roman"/>
          <w:b w:val="false"/>
          <w:i w:val="false"/>
          <w:color w:val="000000"/>
          <w:sz w:val="21"/>
        </w:rPr>
        <w:t>[Filed 11/22/77, Notice 10/5/77—published 12/14/77, effective 1/18/78]</w:t>
      </w:r>
    </w:p>
    <w:p>
      <w:pPr>
        <w:spacing w:before="0" w:after="0"/>
        <w:ind w:left="120"/>
        <w:jc w:val="center"/>
      </w:pPr>
      <w:r>
        <w:rPr>
          <w:rFonts w:ascii="Times New Roman" w:hAnsi="Times New Roman"/>
          <w:b w:val="false"/>
          <w:i w:val="false"/>
          <w:color w:val="000000"/>
          <w:sz w:val="21"/>
        </w:rPr>
        <w:t>[Filed without Notice 2/20/78—published 3/8/78, effective 4/12/78]</w:t>
      </w:r>
    </w:p>
    <w:p>
      <w:pPr>
        <w:spacing w:before="0" w:after="0"/>
        <w:ind w:left="120"/>
        <w:jc w:val="center"/>
      </w:pPr>
      <w:r>
        <w:rPr>
          <w:rFonts w:ascii="Times New Roman" w:hAnsi="Times New Roman"/>
          <w:b w:val="false"/>
          <w:i w:val="false"/>
          <w:color w:val="000000"/>
          <w:sz w:val="21"/>
        </w:rPr>
        <w:t>[Filed without Notice 8/5/80—published 9/3/80, effective 10/8/80]</w:t>
      </w:r>
    </w:p>
    <w:p>
      <w:pPr>
        <w:spacing w:before="0" w:after="0"/>
        <w:ind w:left="120"/>
        <w:jc w:val="center"/>
      </w:pPr>
      <w:r>
        <w:rPr>
          <w:rFonts w:ascii="Times New Roman" w:hAnsi="Times New Roman"/>
          <w:b w:val="false"/>
          <w:i w:val="false"/>
          <w:color w:val="000000"/>
          <w:sz w:val="21"/>
        </w:rPr>
        <w:t>[Filed 12/4/81, Notice 10/14/81—published 12/23/81, effective 1/27/82]</w:t>
      </w:r>
    </w:p>
    <w:p>
      <w:pPr>
        <w:spacing w:before="0" w:after="0"/>
        <w:ind w:left="120"/>
        <w:jc w:val="center"/>
      </w:pPr>
      <w:r>
        <w:rPr>
          <w:rFonts w:ascii="Times New Roman" w:hAnsi="Times New Roman"/>
          <w:b w:val="false"/>
          <w:i w:val="false"/>
          <w:color w:val="000000"/>
          <w:sz w:val="21"/>
        </w:rPr>
        <w:t>[Filed 8/30/89, Notice 4/5/89—published 9/20/89, effective 10/25/89]</w:t>
      </w:r>
    </w:p>
    <w:p>
      <w:pPr>
        <w:spacing w:before="0" w:after="0"/>
        <w:ind w:left="120"/>
        <w:jc w:val="center"/>
      </w:pPr>
      <w:r>
        <w:rPr>
          <w:rFonts w:ascii="Times New Roman" w:hAnsi="Times New Roman"/>
          <w:b w:val="false"/>
          <w:i w:val="false"/>
          <w:color w:val="000000"/>
          <w:sz w:val="21"/>
        </w:rPr>
        <w:t>[Filed 3/1/90, Notice 9/6/89—published 3/21/90, effective 4/25/90]</w:t>
      </w:r>
    </w:p>
    <w:p>
      <w:pPr>
        <w:spacing w:before="0" w:after="0"/>
        <w:ind w:left="120"/>
        <w:jc w:val="center"/>
      </w:pPr>
      <w:r>
        <w:rPr>
          <w:rFonts w:ascii="Times New Roman" w:hAnsi="Times New Roman"/>
          <w:b w:val="false"/>
          <w:i w:val="false"/>
          <w:color w:val="000000"/>
          <w:sz w:val="21"/>
        </w:rPr>
        <w:t>[Filed 11/4/94, Notice 9/28/94—published 11/23/94, effective 1/5/95]</w:t>
      </w:r>
    </w:p>
    <w:p>
      <w:pPr>
        <w:spacing w:before="0" w:after="0"/>
        <w:ind w:left="120"/>
        <w:jc w:val="center"/>
      </w:pPr>
      <w:r>
        <w:rPr>
          <w:rFonts w:ascii="Times New Roman" w:hAnsi="Times New Roman"/>
          <w:b w:val="false"/>
          <w:i w:val="false"/>
          <w:color w:val="000000"/>
          <w:sz w:val="21"/>
        </w:rPr>
        <w:t>[Filed 1/29/04, Notice 12/24/03—published 2/18/04, effective 3/24/04]</w:t>
      </w:r>
    </w:p>
    <w:p>
      <w:pPr>
        <w:spacing w:before="0" w:after="0"/>
        <w:ind w:left="120"/>
        <w:jc w:val="center"/>
      </w:pPr>
      <w:r>
        <w:rPr>
          <w:rFonts w:ascii="Times New Roman" w:hAnsi="Times New Roman"/>
          <w:b w:val="false"/>
          <w:i w:val="false"/>
          <w:color w:val="000000"/>
          <w:sz w:val="21"/>
        </w:rPr>
        <w:t>[Filed Emergency ARC 7883B, IAB 7/1/09, effective 7/1/09]</w:t>
      </w:r>
    </w:p>
    <w:p>
      <w:pPr>
        <w:spacing w:before="0" w:after="0"/>
        <w:ind w:left="120"/>
        <w:jc w:val="center"/>
      </w:pPr>
      <w:r>
        <w:rPr>
          <w:rFonts w:ascii="Times New Roman" w:hAnsi="Times New Roman"/>
          <w:b w:val="false"/>
          <w:i w:val="false"/>
          <w:color w:val="000000"/>
          <w:sz w:val="21"/>
        </w:rPr>
        <w:t>[Filed ARC 2521C</w:t>
      </w:r>
      <w:r>
        <w:rPr>
          <w:rFonts w:ascii="Times New Roman" w:hAnsi="Times New Roman"/>
          <w:b w:val="false"/>
          <w:i w:val="false"/>
          <w:color w:val="000000"/>
          <w:sz w:val="21"/>
        </w:rPr>
        <w:t xml:space="preserve"> (Notice ARC 2261C, IAB 11/25/15)</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3454C</w:t>
      </w:r>
      <w:r>
        <w:rPr>
          <w:rFonts w:ascii="Times New Roman" w:hAnsi="Times New Roman"/>
          <w:b w:val="false"/>
          <w:i w:val="false"/>
          <w:color w:val="000000"/>
          <w:sz w:val="21"/>
        </w:rPr>
        <w:t xml:space="preserve"> (Notice ARC 3283C, IAB 8/30/17)</w:t>
      </w:r>
      <w:r>
        <w:rPr>
          <w:rFonts w:ascii="Times New Roman" w:hAnsi="Times New Roman"/>
          <w:b w:val="false"/>
          <w:i w:val="false"/>
          <w:color w:val="000000"/>
          <w:sz w:val="21"/>
        </w:rPr>
        <w:t>, IAB 11/8/17, effective 12/31/17]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A.39.pdf" Type="http://schemas.openxmlformats.org/officeDocument/2006/relationships/hyperlink" Id="rId5"/>
    <Relationship TargetMode="External" Target="https://www.legis.iowa.gov/docs/ico/chapter/48A.38.pdf" Type="http://schemas.openxmlformats.org/officeDocument/2006/relationships/hyperlink" Id="rId6"/>
    <Relationship TargetMode="External" Target="https://www.legis.iowa.gov/docs/ico/chapter/48A.3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