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VOTER NOTIFICATIONS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821—12.1</w:t>
      </w:r>
      <w:r>
        <w:rPr>
          <w:rFonts w:ascii="Times New Roman" w:hAnsi="Times New Roman"/>
          <w:b/>
          <w:i w:val="false"/>
          <w:color w:val="000000"/>
          <w:sz w:val="22"/>
        </w:rPr>
        <w:t xml:space="preserve">(48A) </w:t>
      </w:r>
      <w:r>
        <w:rPr>
          <w:rFonts w:ascii="Times New Roman" w:hAnsi="Times New Roman"/>
          <w:b/>
          <w:i w:val="false"/>
          <w:color w:val="000000"/>
          <w:sz w:val="22"/>
        </w:rPr>
        <w:t xml:space="preserve">Primary and general election polling place change—voter notification required. </w:t>
      </w:r>
      <w:r>
        <w:rPr>
          <w:rFonts w:ascii="Times New Roman" w:hAnsi="Times New Roman"/>
          <w:b w:val="false"/>
          <w:i w:val="false"/>
          <w:color w:val="000000"/>
          <w:sz w:val="22"/>
        </w:rPr>
        <w:t>When a change is made from the usual polling place for the precinct or when the precinct polling place used for the primary or general election is different from that used for the precinct at the last preceding primary or general election, the county commissioner shall mail every registered voter who is affected by the change a notification informing the voter of the change. The county commissioner may either send a notice of the change to each household at which an impacted voter is registered or send notice of the change to each registered voter. The notification shall be sent not more than 20 nor less than 7 days before the day on which the election is to be 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9943B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6199C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49.23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9943B</w:t>
      </w:r>
      <w:r>
        <w:rPr>
          <w:rFonts w:ascii="Times New Roman" w:hAnsi="Times New Roman"/>
          <w:b w:val="false"/>
          <w:i w:val="false"/>
          <w:color w:val="000000"/>
          <w:sz w:val="21"/>
        </w:rPr>
        <w:t xml:space="preserve"> (Notice ARC 9810B, IAB 10/19/11)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6199C</w:t>
      </w:r>
      <w:r>
        <w:rPr>
          <w:rFonts w:ascii="Times New Roman" w:hAnsi="Times New Roman"/>
          <w:b w:val="false"/>
          <w:i w:val="false"/>
          <w:color w:val="000000"/>
          <w:sz w:val="21"/>
        </w:rPr>
        <w:t xml:space="preserve"> (Notice ARC 6005C, IAB 10/20/21)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9.2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