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NOTICE TO VOTERS WITHOUT ACTIVITY IN FOUR YEARS IN COUNTIES USING</w:t>
      </w:r>
      <w:r>
        <w:br/>
      </w:r>
      <w:r>
        <w:rPr>
          <w:rFonts w:ascii="Times New Roman" w:hAnsi="Times New Roman"/>
          <w:b w:val="false"/>
          <w:i w:val="false"/>
          <w:color w:val="000000"/>
          <w:sz w:val="21"/>
        </w:rPr>
        <w:t>NCOA RECORDS; TO ALL VOTERS IN OTHER COUNTIES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821—10.1</w:t>
      </w:r>
      <w:r>
        <w:rPr>
          <w:rFonts w:ascii="Times New Roman" w:hAnsi="Times New Roman"/>
          <w:b/>
          <w:i w:val="false"/>
          <w:color w:val="000000"/>
          <w:sz w:val="22"/>
        </w:rPr>
        <w:t xml:space="preserve">(48A) </w:t>
      </w:r>
      <w:r>
        <w:rPr>
          <w:rFonts w:ascii="Times New Roman" w:hAnsi="Times New Roman"/>
          <w:b/>
          <w:i w:val="false"/>
          <w:color w:val="000000"/>
          <w:sz w:val="22"/>
        </w:rPr>
        <w:t xml:space="preserve">NCOA county commissioner determines nonactivity; sends notices.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w:t>
      </w:r>
      <w:r>
        <w:rPr>
          <w:rFonts w:ascii="Times New Roman" w:hAnsi="Times New Roman"/>
          <w:b w:val="false"/>
          <w:i w:val="false"/>
          <w:color w:val="000000"/>
          <w:sz w:val="22"/>
        </w:rPr>
        <w:t> </w:t>
      </w:r>
      <w:r>
        <w:rPr>
          <w:rFonts w:ascii="Times New Roman" w:hAnsi="Times New Roman"/>
          <w:b w:val="false"/>
          <w:i w:val="false"/>
          <w:color w:val="000000"/>
          <w:sz w:val="22"/>
        </w:rPr>
        <w:t xml:space="preserve">During the first quarter of the calendar year following a general election, the state registrar shall examine voter registration records to identify those voters without activity during the period following the previous general election and for whom no information has been reported in NCOA data. For the purpose of this subrule, “activity” means voter-initiated activity such as any registration application, including an application which duplicates existing information; a notice of change of name, address, mailing address, or party affiliation; a vote in any election; or the mailing of a notice pursuant to </w:t>
      </w:r>
      <w:hyperlink r:id="rId5">
        <w:r>
          <w:rPr>
            <w:rStyle w:val="Hyperlink"/>
            <w:rFonts w:ascii="Times New Roman" w:hAnsi="Times New Roman"/>
            <w:b w:val="false"/>
            <w:i w:val="false"/>
            <w:color w:val="000000"/>
            <w:sz w:val="22"/>
          </w:rPr>
          <w:t>subrule 10.1(2)</w:t>
        </w:r>
      </w:hyperlink>
      <w:r>
        <w:rPr>
          <w:rFonts w:ascii="Times New Roman" w:hAnsi="Times New Roman"/>
          <w:b w:val="false"/>
          <w:i w:val="false"/>
          <w:color w:val="000000"/>
          <w:sz w:val="22"/>
        </w:rPr>
        <w:t>. A registered voter shall not be sent a notice and return card under this subrule if the registered voter was not 18 years of age on the date of the most recent general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shall coordinate the printing and mailing of the required no-activity notifications. The state registrar shall notify the commissioners when the notifications have been mailed. Any postage-paid preaddressed return cards returned by voters will be sent back to the counties, not to the state registrar. The state registrar shall send one notification to each voter identified based on the criteria in </w:t>
      </w:r>
      <w:hyperlink r:id="rId6">
        <w:r>
          <w:rPr>
            <w:rStyle w:val="Hyperlink"/>
            <w:rFonts w:ascii="Times New Roman" w:hAnsi="Times New Roman"/>
            <w:b w:val="false"/>
            <w:i w:val="false"/>
            <w:color w:val="000000"/>
            <w:sz w:val="22"/>
          </w:rPr>
          <w:t>subrule 10.1(1)</w:t>
        </w:r>
      </w:hyperlink>
      <w:r>
        <w:rPr>
          <w:rFonts w:ascii="Times New Roman" w:hAnsi="Times New Roman"/>
          <w:b w:val="false"/>
          <w:i w:val="false"/>
          <w:color w:val="000000"/>
          <w:sz w:val="22"/>
        </w:rPr>
        <w:t>. The notice shall be mailed to the voter’s mailing address.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7883B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6199C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821—10.2</w:t>
      </w:r>
      <w:r>
        <w:rPr>
          <w:rFonts w:ascii="Times New Roman" w:hAnsi="Times New Roman"/>
          <w:b/>
          <w:i w:val="false"/>
          <w:color w:val="000000"/>
          <w:sz w:val="22"/>
        </w:rPr>
        <w:t xml:space="preserve">(48A) </w:t>
      </w:r>
      <w:r>
        <w:rPr>
          <w:rFonts w:ascii="Times New Roman" w:hAnsi="Times New Roman"/>
          <w:b/>
          <w:i w:val="false"/>
          <w:color w:val="000000"/>
          <w:sz w:val="22"/>
        </w:rPr>
        <w:t xml:space="preserve">Fees. </w:t>
      </w:r>
      <w:r>
        <w:rPr>
          <w:rFonts w:ascii="Times New Roman" w:hAnsi="Times New Roman"/>
          <w:b w:val="false"/>
          <w:i w:val="false"/>
          <w:color w:val="000000"/>
          <w:sz w:val="22"/>
        </w:rPr>
        <w:t>The state registrar shall charge the counties for the costs of the no-activity process, including matching the records and the printing of and postage for the mailing. The fees charged to the counties shall reflect actual costs to the state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6199C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821—10.3</w:t>
      </w:r>
      <w:r>
        <w:rPr>
          <w:rFonts w:ascii="Times New Roman" w:hAnsi="Times New Roman"/>
          <w:b/>
          <w:i w:val="false"/>
          <w:color w:val="000000"/>
          <w:sz w:val="22"/>
        </w:rPr>
        <w:t xml:space="preserve">(48A) </w:t>
      </w:r>
      <w:r>
        <w:rPr>
          <w:rFonts w:ascii="Times New Roman" w:hAnsi="Times New Roman"/>
          <w:b/>
          <w:i w:val="false"/>
          <w:color w:val="000000"/>
          <w:sz w:val="22"/>
        </w:rPr>
        <w:t xml:space="preserve">Voter record made inactive. </w:t>
      </w:r>
      <w:r>
        <w:rPr>
          <w:rFonts w:ascii="Times New Roman" w:hAnsi="Times New Roman"/>
          <w:b w:val="false"/>
          <w:i w:val="false"/>
          <w:color w:val="000000"/>
          <w:sz w:val="22"/>
        </w:rPr>
        <w:t xml:space="preserve">A registered voter receiving a mailing pursuant to rule </w:t>
      </w:r>
      <w:hyperlink r:id="rId7">
        <w:r>
          <w:rPr>
            <w:rStyle w:val="Hyperlink"/>
            <w:rFonts w:ascii="Times New Roman" w:hAnsi="Times New Roman"/>
            <w:b w:val="false"/>
            <w:i w:val="false"/>
            <w:color w:val="000000"/>
            <w:sz w:val="22"/>
          </w:rPr>
          <w:t>821—10.1</w:t>
        </w:r>
      </w:hyperlink>
      <w:r>
        <w:rPr>
          <w:rFonts w:ascii="Times New Roman" w:hAnsi="Times New Roman"/>
          <w:b w:val="false"/>
          <w:i w:val="false"/>
          <w:color w:val="000000"/>
          <w:sz w:val="22"/>
        </w:rPr>
        <w:t>(48A) shall be made “inactive.”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7883B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6199C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subsections </w:t>
      </w:r>
      <w:hyperlink r:id="rId8">
        <w:r>
          <w:rPr>
            <w:rStyle w:val="Hyperlink"/>
            <w:rFonts w:ascii="Times New Roman" w:hAnsi="Times New Roman"/>
            <w:b w:val="false"/>
            <w:i w:val="false"/>
            <w:color w:val="000000"/>
            <w:sz w:val="22"/>
          </w:rPr>
          <w:t>48A.28(2)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11/4/94, Notice 9/28/94—published 11/23/94, effective 1/5/95]</w:t>
      </w:r>
    </w:p>
    <w:p>
      <w:pPr>
        <w:spacing w:before="0" w:after="0"/>
        <w:ind w:left="120"/>
        <w:jc w:val="center"/>
      </w:pPr>
      <w:r>
        <w:rPr>
          <w:rFonts w:ascii="Times New Roman" w:hAnsi="Times New Roman"/>
          <w:b w:val="false"/>
          <w:i w:val="false"/>
          <w:color w:val="000000"/>
          <w:sz w:val="21"/>
        </w:rPr>
        <w:t>[Filed 7/16/04, Notice 6/9/04—published 8/4/04, effective 9/10/04]</w:t>
      </w:r>
    </w:p>
    <w:p>
      <w:pPr>
        <w:spacing w:before="0" w:after="0"/>
        <w:ind w:left="120"/>
        <w:jc w:val="center"/>
      </w:pPr>
      <w:r>
        <w:rPr>
          <w:rFonts w:ascii="Times New Roman" w:hAnsi="Times New Roman"/>
          <w:b w:val="false"/>
          <w:i w:val="false"/>
          <w:color w:val="000000"/>
          <w:sz w:val="21"/>
        </w:rPr>
        <w:t>[Filed Emergency ARC 7883B, IAB 7/1/09, effective 7/1/09]</w:t>
      </w:r>
    </w:p>
    <w:p>
      <w:pPr>
        <w:spacing w:before="0" w:after="0"/>
        <w:ind w:left="120"/>
        <w:jc w:val="center"/>
      </w:pPr>
      <w:r>
        <w:rPr>
          <w:rFonts w:ascii="Times New Roman" w:hAnsi="Times New Roman"/>
          <w:b w:val="false"/>
          <w:i w:val="false"/>
          <w:color w:val="000000"/>
          <w:sz w:val="21"/>
        </w:rPr>
        <w:t>[Filed ARC 6199C</w:t>
      </w:r>
      <w:r>
        <w:rPr>
          <w:rFonts w:ascii="Times New Roman" w:hAnsi="Times New Roman"/>
          <w:b w:val="false"/>
          <w:i w:val="false"/>
          <w:color w:val="000000"/>
          <w:sz w:val="21"/>
        </w:rPr>
        <w:t xml:space="preserve"> (Notice ARC 6005C, IAB 10/20/21)</w:t>
      </w:r>
      <w:r>
        <w:rPr>
          <w:rFonts w:ascii="Times New Roman" w:hAnsi="Times New Roman"/>
          <w:b w:val="false"/>
          <w:i w:val="false"/>
          <w:color w:val="000000"/>
          <w:sz w:val="21"/>
        </w:rPr>
        <w:t>, IAB 2/23/22, effective 3/30/22]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821.10.1.pdf" Type="http://schemas.openxmlformats.org/officeDocument/2006/relationships/hyperlink" Id="rId5"/>
    <Relationship TargetMode="External" Target="https://www.legis.iowa.gov/docs/iac/rule/821.10.1.pdf" Type="http://schemas.openxmlformats.org/officeDocument/2006/relationships/hyperlink" Id="rId6"/>
    <Relationship TargetMode="External" Target="https://www.legis.iowa.gov/docs/iac/rule/821.10.1.pdf" Type="http://schemas.openxmlformats.org/officeDocument/2006/relationships/hyperlink" Id="rId7"/>
    <Relationship TargetMode="External" Target="https://www.legis.iowa.gov/docs/ico/chapter/48A.28.pdf" Type="http://schemas.openxmlformats.org/officeDocument/2006/relationships/hyperlink" Id="rId8"/>
    <Relationship TargetMode="External" Target="https://www.legis.iowa.gov/docs/ico/chapter/48A.28.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