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PURPOSE, PROCEDURES AND DEFINITIONS</w:t>
      </w:r>
    </w:p>
    <w:p>
      <w:pPr>
        <w:spacing w:before="0" w:after="0"/>
        <w:ind w:left="120"/>
        <w:jc w:val="center"/>
      </w:pPr>
      <w:r>
        <w:rPr>
          <w:rFonts w:ascii="Times New Roman" w:hAnsi="Times New Roman"/>
          <w:b w:val="false"/>
          <w:i w:val="false"/>
          <w:color w:val="000000"/>
          <w:sz w:val="20"/>
        </w:rPr>
        <w:t>[Prior to 3/21/90, see Voter Registration Commission[845],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821—1.1</w:t>
      </w:r>
      <w:r>
        <w:rPr>
          <w:rFonts w:ascii="Times New Roman" w:hAnsi="Times New Roman"/>
          <w:b/>
          <w:i w:val="false"/>
          <w:color w:val="000000"/>
          <w:sz w:val="22"/>
        </w:rPr>
        <w:t xml:space="preserve">(47) </w:t>
      </w:r>
      <w:r>
        <w:rPr>
          <w:rFonts w:ascii="Times New Roman" w:hAnsi="Times New Roman"/>
          <w:b/>
          <w:i w:val="false"/>
          <w:color w:val="000000"/>
          <w:sz w:val="22"/>
        </w:rPr>
        <w:t xml:space="preserve">Voter registration commission composition. </w:t>
      </w:r>
      <w:r>
        <w:rPr>
          <w:rFonts w:ascii="Times New Roman" w:hAnsi="Times New Roman"/>
          <w:b w:val="false"/>
          <w:i w:val="false"/>
          <w:color w:val="000000"/>
          <w:sz w:val="22"/>
        </w:rPr>
        <w:t>The commission consists of four members: the state commissioner of elections, and the chairpersons of the two state political parties whose candidates for President of the United States or for governor, as the case may be, in the most recent general election, received the greatest and the second greatest number of votes, or their designees, and a person appointed by the president of the Iowa State Association of County Auditors.</w:t>
      </w:r>
    </w:p>
    <w:p>
      <w:pPr>
        <w:spacing w:before="0" w:after="0"/>
        <w:ind w:left="120"/>
        <w:jc w:val="both"/>
      </w:pPr>
      <w:r>
        <w:rPr>
          <w:rFonts w:ascii="Times New Roman" w:hAnsi="Times New Roman"/>
          <w:b/>
          <w:i w:val="false"/>
          <w:color w:val="000000"/>
          <w:sz w:val="22"/>
        </w:rPr>
        <w:t>821—1.2</w:t>
      </w:r>
      <w:r>
        <w:rPr>
          <w:rFonts w:ascii="Times New Roman" w:hAnsi="Times New Roman"/>
          <w:b/>
          <w:i w:val="false"/>
          <w:color w:val="000000"/>
          <w:sz w:val="22"/>
        </w:rPr>
        <w:t xml:space="preserve">(47) </w:t>
      </w:r>
      <w:r>
        <w:rPr>
          <w:rFonts w:ascii="Times New Roman" w:hAnsi="Times New Roman"/>
          <w:b/>
          <w:i w:val="false"/>
          <w:color w:val="000000"/>
          <w:sz w:val="22"/>
        </w:rPr>
        <w:t xml:space="preserve">State registrar of voters. </w:t>
      </w:r>
      <w:r>
        <w:rPr>
          <w:rFonts w:ascii="Times New Roman" w:hAnsi="Times New Roman"/>
          <w:b w:val="false"/>
          <w:i w:val="false"/>
          <w:color w:val="000000"/>
          <w:sz w:val="22"/>
        </w:rPr>
        <w:t>The state commissioner of elections is designated the state registrar of voters. The state registrar is responsible for the regulation of the preservation, preparation and maintenance of voter registration records. This regulation activity is in accordance with the policies of the voter registration commission.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47.7(1)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7883B</w:t>
      </w:r>
      <w:r>
        <w:rPr>
          <w:rFonts w:ascii="Times New Roman" w:hAnsi="Times New Roman"/>
          <w:b w:val="false"/>
          <w:i w:val="false"/>
          <w:color w:val="000000"/>
          <w:sz w:val="16"/>
        </w:rPr>
        <w:t>, IAB 7/1/09, effective 7/1/09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821—1.3</w:t>
      </w:r>
      <w:r>
        <w:rPr>
          <w:rFonts w:ascii="Times New Roman" w:hAnsi="Times New Roman"/>
          <w:b/>
          <w:i w:val="false"/>
          <w:color w:val="000000"/>
          <w:sz w:val="22"/>
        </w:rPr>
        <w:t xml:space="preserve">(47) </w:t>
      </w:r>
      <w:r>
        <w:rPr>
          <w:rFonts w:ascii="Times New Roman" w:hAnsi="Times New Roman"/>
          <w:b/>
          <w:i w:val="false"/>
          <w:color w:val="000000"/>
          <w:sz w:val="22"/>
        </w:rPr>
        <w:t xml:space="preserve">General operating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val="false"/>
          <w:color w:val="000000"/>
          <w:sz w:val="22"/>
        </w:rPr>
        <w:t>The chair of the commission is the state commissioner of elections or the state commissioner’s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val="false"/>
          <w:color w:val="000000"/>
          <w:sz w:val="22"/>
        </w:rPr>
        <w:t>Any member of the commission, including the chair, may make and second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val="false"/>
          <w:color w:val="000000"/>
          <w:sz w:val="22"/>
        </w:rPr>
        <w:t>To prevail, a motion, declaratory ruling, or ruling in a contested case must receive the votes of a majority of commissioners present and voting.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w:t>
      </w:r>
      <w:r>
        <w:rPr>
          <w:rFonts w:ascii="Times New Roman" w:hAnsi="Times New Roman"/>
          <w:b w:val="false"/>
          <w:i w:val="false"/>
          <w:color w:val="000000"/>
          <w:sz w:val="22"/>
        </w:rPr>
        <w:t> </w:t>
      </w:r>
      <w:r>
        <w:rPr>
          <w:rFonts w:ascii="Times New Roman" w:hAnsi="Times New Roman"/>
          <w:b w:val="false"/>
          <w:i w:val="false"/>
          <w:color w:val="000000"/>
          <w:sz w:val="22"/>
        </w:rPr>
        <w:t>A designee of a statutory member shall present a letter from the statutory member appointing the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w:t>
      </w:r>
      <w:r>
        <w:rPr>
          <w:rFonts w:ascii="Times New Roman" w:hAnsi="Times New Roman"/>
          <w:b w:val="false"/>
          <w:i w:val="false"/>
          <w:color w:val="000000"/>
          <w:sz w:val="22"/>
        </w:rPr>
        <w:t> </w:t>
      </w:r>
      <w:r>
        <w:rPr>
          <w:rFonts w:ascii="Times New Roman" w:hAnsi="Times New Roman"/>
          <w:b w:val="false"/>
          <w:i w:val="false"/>
          <w:color w:val="000000"/>
          <w:sz w:val="22"/>
        </w:rPr>
        <w:t>A quorum of the commission is four members. No official action may be taken in the absence of a quorum.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4493C</w:t>
      </w:r>
      <w:r>
        <w:rPr>
          <w:rFonts w:ascii="Times New Roman" w:hAnsi="Times New Roman"/>
          <w:b w:val="false"/>
          <w:i w:val="false"/>
          <w:color w:val="000000"/>
          <w:sz w:val="16"/>
        </w:rPr>
        <w:t>, IAB 6/5/19, effective 7/10/19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821—1.4</w:t>
      </w:r>
      <w:r>
        <w:rPr>
          <w:rFonts w:ascii="Times New Roman" w:hAnsi="Times New Roman"/>
          <w:b/>
          <w:i w:val="false"/>
          <w:color w:val="000000"/>
          <w:sz w:val="22"/>
        </w:rPr>
        <w:t xml:space="preserve">(47) </w:t>
      </w:r>
      <w:r>
        <w:rPr>
          <w:rFonts w:ascii="Times New Roman" w:hAnsi="Times New Roman"/>
          <w:b/>
          <w:i w:val="false"/>
          <w:color w:val="000000"/>
          <w:sz w:val="22"/>
        </w:rPr>
        <w:t xml:space="preserve">Voter registration staff.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Voter registration system. </w:t>
      </w:r>
      <w:r>
        <w:rPr>
          <w:rFonts w:ascii="Times New Roman" w:hAnsi="Times New Roman"/>
          <w:b w:val="false"/>
          <w:i w:val="false"/>
          <w:color w:val="000000"/>
          <w:sz w:val="22"/>
        </w:rPr>
        <w:t>Under the general direction of the state registrar of voters, the voter registration staff conducts and directs those activities necessary to implement and maintain the statewide voter registration system. The voter registration staff includes clerical and technical personnel temporarily or permanently assigned by the registrar to support the voter registration function.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Intergovernmental relations. </w:t>
      </w:r>
      <w:r>
        <w:rPr>
          <w:rFonts w:ascii="Times New Roman" w:hAnsi="Times New Roman"/>
          <w:b w:val="false"/>
          <w:i w:val="false"/>
          <w:color w:val="000000"/>
          <w:sz w:val="22"/>
        </w:rPr>
        <w:t>The voter registration staff is responsible for working with and assisting county commissioners in performing their voter registration duties under the law, including acquisition of voter registration data processing services, preparation of election registers, maintaining voter registration files, processing registration applications and related activities. The staff is responsible for communicating with state and federal court officials to arrange for the provision of information from voter registration records to the courts for use in the jury selection process. The staff is also responsible for ensuring the transfer of electronic registration data from registration agencies and the department of transportation to the appropriate county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w:t>
      </w:r>
      <w:r>
        <w:rPr>
          <w:rFonts w:ascii="Times New Roman" w:hAnsi="Times New Roman"/>
          <w:b w:val="false"/>
          <w:i w:val="false"/>
          <w:color w:val="000000"/>
          <w:sz w:val="22"/>
        </w:rPr>
        <w:t> </w:t>
      </w:r>
      <w:r>
        <w:rPr>
          <w:rFonts w:ascii="Times New Roman" w:hAnsi="Times New Roman"/>
          <w:b w:val="false"/>
          <w:i/>
          <w:color w:val="000000"/>
          <w:sz w:val="22"/>
        </w:rPr>
        <w:t xml:space="preserve">Staff support to the commission. </w:t>
      </w:r>
      <w:r>
        <w:rPr>
          <w:rFonts w:ascii="Times New Roman" w:hAnsi="Times New Roman"/>
          <w:b w:val="false"/>
          <w:i w:val="false"/>
          <w:color w:val="000000"/>
          <w:sz w:val="22"/>
        </w:rPr>
        <w:t>The registrar and voter registration staff provide support services to the commission as required in the performance of the commission’s official duties.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7883B</w:t>
      </w:r>
      <w:r>
        <w:rPr>
          <w:rFonts w:ascii="Times New Roman" w:hAnsi="Times New Roman"/>
          <w:b w:val="false"/>
          <w:i w:val="false"/>
          <w:color w:val="000000"/>
          <w:sz w:val="16"/>
        </w:rPr>
        <w:t>, IAB 7/1/09, effective 7/1/09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821—1.5</w:t>
      </w:r>
      <w:r>
        <w:rPr>
          <w:rFonts w:ascii="Times New Roman" w:hAnsi="Times New Roman"/>
          <w:b/>
          <w:i w:val="false"/>
          <w:color w:val="000000"/>
          <w:sz w:val="22"/>
        </w:rPr>
        <w:t xml:space="preserve">(47) </w:t>
      </w:r>
      <w:r>
        <w:rPr>
          <w:rFonts w:ascii="Times New Roman" w:hAnsi="Times New Roman"/>
          <w:b/>
          <w:i w:val="false"/>
          <w:color w:val="000000"/>
          <w:sz w:val="22"/>
        </w:rPr>
        <w:t xml:space="preserve">Declaratory ruling by voter registration commission.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821—1.6</w:t>
      </w:r>
      <w:r>
        <w:rPr>
          <w:rFonts w:ascii="Times New Roman" w:hAnsi="Times New Roman"/>
          <w:b/>
          <w:i w:val="false"/>
          <w:color w:val="000000"/>
          <w:sz w:val="22"/>
        </w:rPr>
        <w:t xml:space="preserve">(47) </w:t>
      </w:r>
      <w:r>
        <w:rPr>
          <w:rFonts w:ascii="Times New Roman" w:hAnsi="Times New Roman"/>
          <w:b/>
          <w:i w:val="false"/>
          <w:color w:val="000000"/>
          <w:sz w:val="22"/>
        </w:rPr>
        <w:t xml:space="preserve">Contested cases.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i w:val="false"/>
          <w:color w:val="000000"/>
          <w:sz w:val="22"/>
        </w:rPr>
        <w:t>821—1.7</w:t>
      </w:r>
      <w:r>
        <w:rPr>
          <w:rFonts w:ascii="Times New Roman" w:hAnsi="Times New Roman"/>
          <w:b/>
          <w:i w:val="false"/>
          <w:color w:val="000000"/>
          <w:sz w:val="22"/>
        </w:rPr>
        <w:t xml:space="preserve">(47)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terms have the meanings assigned to them by this rule wherever the terms appear in these rules, unless the context of usage clearly requires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means a voter registration agency and the office of driver services,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“voter registration commission”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voter registration commission as defined in Iowa Code section </w:t>
      </w:r>
      <w:hyperlink r:id="rId6">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“county commissioner”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county commissioner of registration as defined in Iowa Code section </w:t>
      </w:r>
      <w:hyperlink r:id="rId7">
        <w:r>
          <w:rPr>
            <w:rStyle w:val="Hyperlink"/>
            <w:rFonts w:ascii="Times New Roman" w:hAnsi="Times New Roman"/>
            <w:b w:val="false"/>
            <w:i w:val="false"/>
            <w:color w:val="000000"/>
            <w:sz w:val="22"/>
          </w:rPr>
          <w:t>48.1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“Driver license clerk”</w:t>
      </w:r>
      <w:r>
        <w:rPr>
          <w:rFonts w:ascii="Times New Roman" w:hAnsi="Times New Roman"/>
          <w:b w:val="false"/>
          <w:i w:val="false"/>
          <w:color w:val="000000"/>
          <w:sz w:val="22"/>
        </w:rPr>
        <w:t> </w:t>
      </w:r>
      <w:r>
        <w:rPr>
          <w:rFonts w:ascii="Times New Roman" w:hAnsi="Times New Roman"/>
          <w:b w:val="false"/>
          <w:i w:val="false"/>
          <w:color w:val="000000"/>
          <w:sz w:val="22"/>
        </w:rPr>
        <w:t>means an employee of the office of driver services, department of transportation, who has face-to-face contact with clients seeking a driver license or nonoperator identification card, or a county employee in the office of the county treasurer who performs a similar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“NCOA”</w:t>
      </w:r>
      <w:r>
        <w:rPr>
          <w:rFonts w:ascii="Times New Roman" w:hAnsi="Times New Roman"/>
          <w:b w:val="false"/>
          <w:i w:val="false"/>
          <w:color w:val="000000"/>
          <w:sz w:val="22"/>
        </w:rPr>
        <w:t> </w:t>
      </w:r>
      <w:r>
        <w:rPr>
          <w:rFonts w:ascii="Times New Roman" w:hAnsi="Times New Roman"/>
          <w:b w:val="false"/>
          <w:i w:val="false"/>
          <w:color w:val="000000"/>
          <w:sz w:val="22"/>
        </w:rPr>
        <w:t>means National Change of Address, and refers to the collection and distribution of information by the United States Postal Service or its licensed vendors; programs instituted to support that collection and distribution; or the information itself.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“Registrar”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“state registrar”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state registrar of voters as defined in Iowa Code section </w:t>
      </w:r>
      <w:hyperlink r:id="rId8">
        <w:r>
          <w:rPr>
            <w:rStyle w:val="Hyperlink"/>
            <w:rFonts w:ascii="Times New Roman" w:hAnsi="Times New Roman"/>
            <w:b w:val="false"/>
            <w:i w:val="false"/>
            <w:color w:val="000000"/>
            <w:sz w:val="22"/>
          </w:rPr>
          <w:t>47.7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“Voter registration agency”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department, division, or bureau in state government which provides voter registration services pursuant to Iowa Code section </w:t>
      </w:r>
      <w:hyperlink r:id="rId9">
        <w:r>
          <w:rPr>
            <w:rStyle w:val="Hyperlink"/>
            <w:rFonts w:ascii="Times New Roman" w:hAnsi="Times New Roman"/>
            <w:b w:val="false"/>
            <w:i w:val="false"/>
            <w:color w:val="000000"/>
            <w:sz w:val="22"/>
          </w:rPr>
          <w:t>48A.19</w:t>
        </w:r>
      </w:hyperlink>
      <w:r>
        <w:rPr>
          <w:rFonts w:ascii="Times New Roman" w:hAnsi="Times New Roman"/>
          <w:b w:val="false"/>
          <w:i w:val="false"/>
          <w:color w:val="000000"/>
          <w:sz w:val="22"/>
        </w:rPr>
        <w:t>. A department, division, or bureau which merely makes mail-in voter registration applications available to its clients, employees, or general public is not a voter registration agency, nor is the office of driver services,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“Voter registration commissioner”</w:t>
      </w:r>
      <w:r>
        <w:rPr>
          <w:rFonts w:ascii="Times New Roman" w:hAnsi="Times New Roman"/>
          <w:b w:val="false"/>
          <w:i w:val="false"/>
          <w:color w:val="000000"/>
          <w:sz w:val="22"/>
        </w:rPr>
        <w:t> </w:t>
      </w:r>
      <w:r>
        <w:rPr>
          <w:rFonts w:ascii="Times New Roman" w:hAnsi="Times New Roman"/>
          <w:b w:val="false"/>
          <w:i w:val="false"/>
          <w:color w:val="000000"/>
          <w:sz w:val="22"/>
        </w:rPr>
        <w:t>means a member of the voter registration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7883B</w:t>
      </w:r>
      <w:r>
        <w:rPr>
          <w:rFonts w:ascii="Times New Roman" w:hAnsi="Times New Roman"/>
          <w:b w:val="false"/>
          <w:i w:val="false"/>
          <w:color w:val="000000"/>
          <w:sz w:val="16"/>
        </w:rPr>
        <w:t>, IAB 7/1/09, effective 7/1/09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821—1.8</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rule making.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0">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47.7</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7/5/77, Notice 6/1/77—published 7/27/77, effective 8/31/77]</w:t>
      </w:r>
    </w:p>
    <w:p>
      <w:pPr>
        <w:spacing w:before="0" w:after="0"/>
        <w:ind w:left="120"/>
        <w:jc w:val="center"/>
      </w:pPr>
      <w:r>
        <w:rPr>
          <w:rFonts w:ascii="Times New Roman" w:hAnsi="Times New Roman"/>
          <w:b w:val="false"/>
          <w:i w:val="false"/>
          <w:color w:val="000000"/>
          <w:sz w:val="21"/>
        </w:rPr>
        <w:t>[Filed 8/30/89, Notice 4/5/89—published 9/20/89, effective 10/25/89]</w:t>
      </w:r>
    </w:p>
    <w:p>
      <w:pPr>
        <w:spacing w:before="0" w:after="0"/>
        <w:ind w:left="120"/>
        <w:jc w:val="center"/>
      </w:pPr>
      <w:r>
        <w:rPr>
          <w:rFonts w:ascii="Times New Roman" w:hAnsi="Times New Roman"/>
          <w:b w:val="false"/>
          <w:i w:val="false"/>
          <w:color w:val="000000"/>
          <w:sz w:val="21"/>
        </w:rPr>
        <w:t>[Filed 3/1/90, Notice 9/6/89—published 3/21/90, effective 4/25/90]</w:t>
      </w:r>
    </w:p>
    <w:p>
      <w:pPr>
        <w:spacing w:before="0" w:after="0"/>
        <w:ind w:left="120"/>
        <w:jc w:val="center"/>
      </w:pPr>
      <w:r>
        <w:rPr>
          <w:rFonts w:ascii="Times New Roman" w:hAnsi="Times New Roman"/>
          <w:b w:val="false"/>
          <w:i w:val="false"/>
          <w:color w:val="000000"/>
          <w:sz w:val="21"/>
        </w:rPr>
        <w:t>[Filed 11/4/94, Notice 9/28/94—published 11/23/94, effective 1/5/95]</w:t>
      </w:r>
    </w:p>
    <w:p>
      <w:pPr>
        <w:spacing w:before="0" w:after="0"/>
        <w:ind w:left="120"/>
        <w:jc w:val="center"/>
      </w:pPr>
      <w:r>
        <w:rPr>
          <w:rFonts w:ascii="Times New Roman" w:hAnsi="Times New Roman"/>
          <w:b w:val="false"/>
          <w:i w:val="false"/>
          <w:color w:val="000000"/>
          <w:sz w:val="21"/>
        </w:rPr>
        <w:t>[Filed emergency 10/6/95—published 10/25/95, effective 10/6/95]</w:t>
      </w:r>
    </w:p>
    <w:p>
      <w:pPr>
        <w:spacing w:before="0" w:after="0"/>
        <w:ind w:left="120"/>
        <w:jc w:val="center"/>
      </w:pPr>
      <w:r>
        <w:rPr>
          <w:rFonts w:ascii="Times New Roman" w:hAnsi="Times New Roman"/>
          <w:b w:val="false"/>
          <w:i w:val="false"/>
          <w:color w:val="000000"/>
          <w:sz w:val="21"/>
        </w:rPr>
        <w:t>[Filed 12/16/99, Notice 10/20/99—published 1/12/00, effective 2/16/00]</w:t>
      </w:r>
    </w:p>
    <w:p>
      <w:pPr>
        <w:spacing w:before="0" w:after="0"/>
        <w:ind w:left="120"/>
        <w:jc w:val="center"/>
      </w:pPr>
      <w:r>
        <w:rPr>
          <w:rFonts w:ascii="Times New Roman" w:hAnsi="Times New Roman"/>
          <w:b w:val="false"/>
          <w:i w:val="false"/>
          <w:color w:val="000000"/>
          <w:sz w:val="21"/>
        </w:rPr>
        <w:t>[Filed Emergency ARC 7883B, IAB 7/1/09, effective 7/1/09]</w:t>
      </w:r>
    </w:p>
    <w:p>
      <w:pPr>
        <w:spacing w:before="0" w:after="0"/>
        <w:ind w:left="120"/>
        <w:jc w:val="center"/>
      </w:pPr>
      <w:r>
        <w:rPr>
          <w:rFonts w:ascii="Times New Roman" w:hAnsi="Times New Roman"/>
          <w:b w:val="false"/>
          <w:i w:val="false"/>
          <w:color w:val="000000"/>
          <w:sz w:val="21"/>
        </w:rPr>
        <w:t>[Filed ARC 4493C</w:t>
      </w:r>
      <w:r>
        <w:rPr>
          <w:rFonts w:ascii="Times New Roman" w:hAnsi="Times New Roman"/>
          <w:b w:val="false"/>
          <w:i w:val="false"/>
          <w:color w:val="000000"/>
          <w:sz w:val="21"/>
        </w:rPr>
        <w:t xml:space="preserve"> (Notice ARC 4383C, IAB 4/10/19)</w:t>
      </w:r>
      <w:r>
        <w:rPr>
          <w:rFonts w:ascii="Times New Roman" w:hAnsi="Times New Roman"/>
          <w:b w:val="false"/>
          <w:i w:val="false"/>
          <w:color w:val="000000"/>
          <w:sz w:val="21"/>
        </w:rPr>
        <w:t>, IAB 6/5/19, effective 7/10/19]</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7.pdf" Type="http://schemas.openxmlformats.org/officeDocument/2006/relationships/hyperlink" Id="rId5"/>
    <Relationship TargetMode="External" Target="https://www.legis.iowa.gov/docs/ico/chapter/47.8.pdf" Type="http://schemas.openxmlformats.org/officeDocument/2006/relationships/hyperlink" Id="rId6"/>
    <Relationship TargetMode="External" Target="https://www.legis.iowa.gov/docs/ico/chapter/48.1.pdf" Type="http://schemas.openxmlformats.org/officeDocument/2006/relationships/hyperlink" Id="rId7"/>
    <Relationship TargetMode="External" Target="https://www.legis.iowa.gov/docs/ico/chapter/47.7.pdf" Type="http://schemas.openxmlformats.org/officeDocument/2006/relationships/hyperlink" Id="rId8"/>
    <Relationship TargetMode="External" Target="https://www.legis.iowa.gov/docs/ico/chapter/48A.19.pdf" Type="http://schemas.openxmlformats.org/officeDocument/2006/relationships/hyperlink" Id="rId9"/>
    <Relationship TargetMode="External" Target="https://www.legis.iowa.gov/docs/ico/chapter/17A.7.pdf" Type="http://schemas.openxmlformats.org/officeDocument/2006/relationships/hyperlink" Id="rId10"/>
    <Relationship TargetMode="External" Target="https://www.legis.iowa.gov/docs/ico/chapter/47.7.pdf" Type="http://schemas.openxmlformats.org/officeDocument/2006/relationships/hyperlink" Id="rId11"/>
    <Relationship TargetMode="External" Target="https://www.legis.iowa.gov/docs/ico/chapter/47.8.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