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NATIONAL SERVICE CORPS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817—14.1</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“Approval”</w:t>
      </w:r>
      <w:r>
        <w:rPr>
          <w:rFonts w:ascii="Times New Roman" w:hAnsi="Times New Roman"/>
          <w:b w:val="false"/>
          <w:i w:val="false"/>
          <w:color w:val="000000"/>
          <w:sz w:val="22"/>
        </w:rPr>
        <w:t> </w:t>
      </w:r>
      <w:r>
        <w:rPr>
          <w:rFonts w:ascii="Times New Roman" w:hAnsi="Times New Roman"/>
          <w:b w:val="false"/>
          <w:i w:val="false"/>
          <w:color w:val="000000"/>
          <w:sz w:val="22"/>
        </w:rPr>
        <w:t>means the process for identifying service programs as meeting the criteria to become eligible for Iowa national service corps program benefits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“Host site”</w:t>
      </w:r>
      <w:r>
        <w:rPr>
          <w:rFonts w:ascii="Times New Roman" w:hAnsi="Times New Roman"/>
          <w:b w:val="false"/>
          <w:i w:val="false"/>
          <w:color w:val="000000"/>
          <w:sz w:val="22"/>
        </w:rPr>
        <w:t> </w:t>
      </w:r>
      <w:r>
        <w:rPr>
          <w:rFonts w:ascii="Times New Roman" w:hAnsi="Times New Roman"/>
          <w:b w:val="false"/>
          <w:i w:val="false"/>
          <w:color w:val="000000"/>
          <w:sz w:val="22"/>
        </w:rPr>
        <w:t>means the physical location where an Iowa national service corps member is based for the period of service in the Iowa national service corps program. The sponsoring organization may be the host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approval application”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used to determine an applicant’s designation as an approved Iowa national service program. The application contains information that can be used to determine an applicant’s designation as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“corps member”</w:t>
      </w:r>
      <w:r>
        <w:rPr>
          <w:rFonts w:ascii="Times New Roman" w:hAnsi="Times New Roman"/>
          <w:b w:val="false"/>
          <w:i w:val="false"/>
          <w:color w:val="000000"/>
          <w:sz w:val="22"/>
        </w:rPr>
        <w:t> </w:t>
      </w:r>
      <w:r>
        <w:rPr>
          <w:rFonts w:ascii="Times New Roman" w:hAnsi="Times New Roman"/>
          <w:b w:val="false"/>
          <w:i w:val="false"/>
          <w:color w:val="000000"/>
          <w:sz w:val="22"/>
        </w:rPr>
        <w:t>means a participant in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“national service corps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meaningful service opportunities to individuals, provided that the program meets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is approved via the automatic approval, reciprocal approval, or regular approval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is located in this state or has sites operating in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program is operated by one of the following entities: a state agency; a political subdivision of the state; or a private, nonprofit organization. State agencies or political subdivisions of the state may establish Iowa national service corps programs or contract with a third-party vendor to assist the agency or political subdivision in establishing such programs.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program is developed to meet state and local needs and to provide more opportunities for Iowans to serve their state and country and foster a cultural expectation of service in Iowa through a unified service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“Sponsoring 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operating the Iowa national service corps program that is responsible for submitting the Iowa national service corps approval application and meeting requirements for approved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817—14.2</w:t>
      </w:r>
      <w:r>
        <w:rPr>
          <w:rFonts w:ascii="Times New Roman" w:hAnsi="Times New Roman"/>
          <w:b/>
          <w:i w:val="false"/>
          <w:color w:val="000000"/>
          <w:sz w:val="22"/>
        </w:rPr>
        <w:t xml:space="preserve">(15H) </w:t>
      </w:r>
      <w:r>
        <w:rPr>
          <w:rFonts w:ascii="Times New Roman" w:hAnsi="Times New Roman"/>
          <w:b/>
          <w:i w:val="false"/>
          <w:color w:val="000000"/>
          <w:sz w:val="22"/>
        </w:rPr>
        <w:t xml:space="preserve">Approval. </w:t>
      </w:r>
      <w:r>
        <w:rPr>
          <w:rFonts w:ascii="Times New Roman" w:hAnsi="Times New Roman"/>
          <w:b w:val="false"/>
          <w:i w:val="false"/>
          <w:color w:val="000000"/>
          <w:sz w:val="22"/>
        </w:rPr>
        <w:t>Before a national service corps program can access the benefits of the Iowa national service corps, it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Automatic approval. </w:t>
      </w:r>
      <w:r>
        <w:rPr>
          <w:rFonts w:ascii="Times New Roman" w:hAnsi="Times New Roman"/>
          <w:b w:val="false"/>
          <w:i w:val="false"/>
          <w:color w:val="000000"/>
          <w:sz w:val="22"/>
        </w:rPr>
        <w:t>Existing programs and service positions in the following categories are automatically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AmeriCorps programs in Iowa created pursuant to 42 U.S.C. §12501,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Senior Corps and AmeriCorps VISTA in Iowa created pursuant to 42 U.S.C. §4950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summer youth corps program created pursuant to Iowa Code section </w:t>
      </w:r>
      <w:hyperlink r:id="rId5">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green corps program created pursuant to Iowa Code section </w:t>
      </w:r>
      <w:hyperlink r:id="rId6">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reading corps program created pursuant to Iowa Code section </w:t>
      </w:r>
      <w:hyperlink r:id="rId7">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RefugeeRISE AmeriCorps program created pursuant to Iowa Code section </w:t>
      </w:r>
      <w:hyperlink r:id="rId8">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Reciprocal approval. </w:t>
      </w:r>
      <w:r>
        <w:rPr>
          <w:rFonts w:ascii="Times New Roman" w:hAnsi="Times New Roman"/>
          <w:b w:val="false"/>
          <w:i w:val="false"/>
          <w:color w:val="000000"/>
          <w:sz w:val="22"/>
        </w:rPr>
        <w:t>Existing programs and service positions recognized by another service year certifying body may request reciprocal approval by following the process outlined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Regular approval. </w:t>
      </w:r>
      <w:r>
        <w:rPr>
          <w:rFonts w:ascii="Times New Roman" w:hAnsi="Times New Roman"/>
          <w:b w:val="false"/>
          <w:i w:val="false"/>
          <w:color w:val="000000"/>
          <w:sz w:val="22"/>
        </w:rPr>
        <w:t>All other entities seeking approval for their service programs or positions should follow the regular approval process by completing an Iowa national service corps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national service corps program approval are available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review team designated by the commission will review applications from national service corps programs to determine whether the national service corps programs or positions are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receive written notification of the commission’s decision. Written notification will also be provided regarding the due dates and process for submission of program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approval means the commission has determined that the national service corps program has met the established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 approval means the commission has temporarily approved the national service corps program before the program becomes fully operational or before the program has met the standards for full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program that is denied approval or decertified for any reason bears the burden of proving that all deficiencies previously cited have been corrected. Corrections shall be in accordance with the requirements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Additional documentation may be required to verify elements of the application. Documentation verifying a program’s compliance with approval standards may be required by the commission during the approval process. Each program shall provide relevant information upon the commission’s request in order to be considered for approval. National service corps programs may be requested to provide documentation of continued eligibility at any time during and after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Duration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approval will be in effect as long as the program is recognized as one of the automatically approved programs listed in subrule </w:t>
      </w:r>
      <w:hyperlink r:id="rId9">
        <w:r>
          <w:rPr>
            <w:rStyle w:val="Hyperlink"/>
            <w:rFonts w:ascii="Times New Roman" w:hAnsi="Times New Roman"/>
            <w:b w:val="false"/>
            <w:i w:val="false"/>
            <w:color w:val="000000"/>
            <w:sz w:val="22"/>
          </w:rPr>
          <w:t>14.2(1)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Reciprocal approval will be in effect as long as the program is recognized by the other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Regular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approval may be in effect for three years as long as the program continues to meet the approval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in effect for six months and may be used for the purpose of applying for program benefits and technical assistance available to approved national service corps programs. The commission may grant an extension of conditional approval if it is determined that significant progress is being made toward meeting the requirements for full approval. It shall be the responsibility of the national service corps program to notify the commission when the program believes it has met the full approval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national service corps program may renew its approval. Programs whose full approval has expired should reapply using the application form available on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817—14.3</w:t>
      </w:r>
      <w:r>
        <w:rPr>
          <w:rFonts w:ascii="Times New Roman" w:hAnsi="Times New Roman"/>
          <w:b/>
          <w:i w:val="false"/>
          <w:color w:val="000000"/>
          <w:sz w:val="22"/>
        </w:rPr>
        <w:t>(</w:t>
      </w:r>
      <w:hyperlink r:id="rId10">
        <w:r>
          <w:rPr>
            <w:rStyle w:val="Hyperlink"/>
            <w:rFonts w:ascii="Times New Roman" w:hAnsi="Times New Roman"/>
            <w:b/>
            <w:i w:val="false"/>
            <w:color w:val="000000"/>
            <w:sz w:val="22"/>
          </w:rPr>
          <w:t>15H</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Approval standards. </w:t>
      </w:r>
      <w:r>
        <w:rPr>
          <w:rFonts w:ascii="Times New Roman" w:hAnsi="Times New Roman"/>
          <w:b w:val="false"/>
          <w:i w:val="false"/>
          <w:color w:val="000000"/>
          <w:sz w:val="22"/>
        </w:rPr>
        <w:t>The commission has established standards to certify national service corps programs. These standards are based on a combination of factors established by the Corporation for National and Community Service, the Service Year Alliance, and the existing rules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Iowa summer youth corps program created pursuant to Iowa Code section </w:t>
      </w:r>
      <w:hyperlink r:id="rId11">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Iowa green corps program created pursuant to Iowa Code section </w:t>
      </w:r>
      <w:hyperlink r:id="rId12">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Iowa reading corps program created pursuant to Iowa Code section </w:t>
      </w:r>
      <w:hyperlink r:id="rId13">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RefugeeRISE AmeriCorps program created pursuant to Iowa Code section </w:t>
      </w:r>
      <w:hyperlink r:id="rId14">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Program design. </w:t>
      </w:r>
      <w:r>
        <w:rPr>
          <w:rFonts w:ascii="Times New Roman" w:hAnsi="Times New Roman"/>
          <w:b w:val="false"/>
          <w:i w:val="false"/>
          <w:color w:val="000000"/>
          <w:sz w:val="22"/>
        </w:rPr>
        <w:t>The national service corps program should have a program design defining the impact the program will have on the community, sponsor organization, and service corps members. The program design must identify how the national service program will address a state or local need and how the program will promote a sense of civic engagement in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Corps member position description. </w:t>
      </w:r>
      <w:r>
        <w:rPr>
          <w:rFonts w:ascii="Times New Roman" w:hAnsi="Times New Roman"/>
          <w:b w:val="false"/>
          <w:i w:val="false"/>
          <w:color w:val="000000"/>
          <w:sz w:val="22"/>
        </w:rPr>
        <w:t>The national service corps program shall have written descriptions or plans for high-quality service activities. National service corps member activities must be clearly delineated from those of employees of the sponsoring organization and host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The national service corps program shall have an orientation for national service corps members, including clarification on how the member service activities differ from employee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national service corps program shall have eligibility screening for national service corps members commensurate to the service activities to be conducted and the population to be served. National service corps programs shall set and meet minimum requirements for checking the criminal history of national service corps member applicants and considering the following results when selecting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background and sex offender registry checks for corps members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checks for corps members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Training and professional development. </w:t>
      </w:r>
      <w:r>
        <w:rPr>
          <w:rFonts w:ascii="Times New Roman" w:hAnsi="Times New Roman"/>
          <w:b w:val="false"/>
          <w:i w:val="false"/>
          <w:color w:val="000000"/>
          <w:sz w:val="22"/>
        </w:rPr>
        <w:t>The national service corps program shall provide ongoing training and professional development to the national service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Member supervision. </w:t>
      </w:r>
      <w:r>
        <w:rPr>
          <w:rFonts w:ascii="Times New Roman" w:hAnsi="Times New Roman"/>
          <w:b w:val="false"/>
          <w:i w:val="false"/>
          <w:color w:val="000000"/>
          <w:sz w:val="22"/>
        </w:rPr>
        <w:t>The national service corps program shall demonstrate the ability to effectively supervise the national service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member service. </w:t>
      </w:r>
      <w:r>
        <w:rPr>
          <w:rFonts w:ascii="Times New Roman" w:hAnsi="Times New Roman"/>
          <w:b w:val="false"/>
          <w:i w:val="false"/>
          <w:color w:val="000000"/>
          <w:sz w:val="22"/>
        </w:rPr>
        <w:t>Upon successful completion of the term of service by the Iowa national service corps member, the sponsor organization shall issue a certification of service letter to the corps member. The letter should include, at a minimum, the name of the corps member, whether the corps member served in a full-time capacity or less than full-time capacity, the dates of service (if the corps member served in a full-time capacity) or the hours of service (if the corps member served in a less than full-time capacity), the name of the sponsor organization, and a contact person at the sponsor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Compliance process. </w:t>
      </w:r>
      <w:r>
        <w:rPr>
          <w:rFonts w:ascii="Times New Roman" w:hAnsi="Times New Roman"/>
          <w:b w:val="false"/>
          <w:i w:val="false"/>
          <w:color w:val="000000"/>
          <w:sz w:val="22"/>
        </w:rPr>
        <w:t>The national service corps program shall have a process for ensuring compliance with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Program impact. </w:t>
      </w:r>
      <w:r>
        <w:rPr>
          <w:rFonts w:ascii="Times New Roman" w:hAnsi="Times New Roman"/>
          <w:b w:val="false"/>
          <w:i w:val="false"/>
          <w:color w:val="000000"/>
          <w:sz w:val="22"/>
        </w:rPr>
        <w:t>The national service corps program should have a method for tracking progress toward the established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capacity. </w:t>
      </w:r>
      <w:r>
        <w:rPr>
          <w:rFonts w:ascii="Times New Roman" w:hAnsi="Times New Roman"/>
          <w:b w:val="false"/>
          <w:i w:val="false"/>
          <w:color w:val="000000"/>
          <w:sz w:val="22"/>
        </w:rPr>
        <w:t>The sponsoring organization shall have an established history and demonstrate the staff capacity and experience to effectively oversee the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Financial capacity, cost effectiveness and budget adequacy. </w:t>
      </w:r>
      <w:r>
        <w:rPr>
          <w:rFonts w:ascii="Times New Roman" w:hAnsi="Times New Roman"/>
          <w:b w:val="false"/>
          <w:i w:val="false"/>
          <w:color w:val="000000"/>
          <w:sz w:val="22"/>
        </w:rPr>
        <w:t>The sponsoring organization should demonstrate the financial capacity to administer the national service corps program, including any living allowances or stipends provided to national service corps members. The national service corps program budget should be sufficient to provide the national service corps member(s) with the tools needed to be effective in the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14.3(12)</w:t>
      </w:r>
      <w:r>
        <w:rPr>
          <w:rFonts w:ascii="Times New Roman" w:hAnsi="Times New Roman"/>
          <w:b w:val="false"/>
          <w:i w:val="false"/>
          <w:color w:val="000000"/>
          <w:sz w:val="22"/>
        </w:rPr>
        <w:t> </w:t>
      </w:r>
      <w:r>
        <w:rPr>
          <w:rFonts w:ascii="Times New Roman" w:hAnsi="Times New Roman"/>
          <w:b w:val="false"/>
          <w:i/>
          <w:color w:val="000000"/>
          <w:sz w:val="22"/>
        </w:rPr>
        <w:t xml:space="preserve">Risk management. </w:t>
      </w:r>
      <w:r>
        <w:rPr>
          <w:rFonts w:ascii="Times New Roman" w:hAnsi="Times New Roman"/>
          <w:b w:val="false"/>
          <w:i w:val="false"/>
          <w:color w:val="000000"/>
          <w:sz w:val="22"/>
        </w:rPr>
        <w:t>The national service corps program should practice appropriate risk management strategies for the approved national service corps positions.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817—14.4</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Sponsor organization approval process. </w:t>
      </w:r>
      <w:r>
        <w:rPr>
          <w:rFonts w:ascii="Times New Roman" w:hAnsi="Times New Roman"/>
          <w:b w:val="false"/>
          <w:i w:val="false"/>
          <w:color w:val="000000"/>
          <w:sz w:val="22"/>
        </w:rPr>
        <w:t>Eligible organizations may request approval using the application materials available through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member process. </w:t>
      </w:r>
      <w:r>
        <w:rPr>
          <w:rFonts w:ascii="Times New Roman" w:hAnsi="Times New Roman"/>
          <w:b w:val="false"/>
          <w:i w:val="false"/>
          <w:color w:val="000000"/>
          <w:sz w:val="22"/>
        </w:rPr>
        <w:t>Prospective national service corps members should apply directly to an approved Iowa national service corps program. Prospective corps members must meet the approved program’s eligibility requirements and agree to the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Appropriate forms and applications for grants and eligibility preapproval are available from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817—14.5</w:t>
      </w:r>
      <w:r>
        <w:rPr>
          <w:rFonts w:ascii="Times New Roman" w:hAnsi="Times New Roman"/>
          <w:b/>
          <w:i w:val="false"/>
          <w:color w:val="000000"/>
          <w:sz w:val="22"/>
        </w:rPr>
        <w:t xml:space="preserve">(15H) </w:t>
      </w:r>
      <w:r>
        <w:rPr>
          <w:rFonts w:ascii="Times New Roman" w:hAnsi="Times New Roman"/>
          <w:b/>
          <w:i w:val="false"/>
          <w:color w:val="000000"/>
          <w:sz w:val="22"/>
        </w:rPr>
        <w:t xml:space="preserve">Special consideration. </w:t>
      </w:r>
      <w:r>
        <w:rPr>
          <w:rFonts w:ascii="Times New Roman" w:hAnsi="Times New Roman"/>
          <w:b w:val="false"/>
          <w:i w:val="false"/>
          <w:color w:val="000000"/>
          <w:sz w:val="22"/>
        </w:rPr>
        <w:t xml:space="preserve">In addition to the standards set forth in rule </w:t>
      </w:r>
      <w:hyperlink r:id="rId15">
        <w:r>
          <w:rPr>
            <w:rStyle w:val="Hyperlink"/>
            <w:rFonts w:ascii="Times New Roman" w:hAnsi="Times New Roman"/>
            <w:b w:val="false"/>
            <w:i w:val="false"/>
            <w:color w:val="000000"/>
            <w:sz w:val="22"/>
          </w:rPr>
          <w:t>817—14.3</w:t>
        </w:r>
      </w:hyperlink>
      <w:r>
        <w:rPr>
          <w:rFonts w:ascii="Times New Roman" w:hAnsi="Times New Roman"/>
          <w:b w:val="false"/>
          <w:i w:val="false"/>
          <w:color w:val="000000"/>
          <w:sz w:val="22"/>
        </w:rPr>
        <w:t>(15H), the commission may consider other factors to determine approval status to ensure that only high-quality national service corps programs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At the discretion of the commission, on-site audits may be conducted to determine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Programs that fail to submit required documentation are at risk of decertification and may be deemed ineligible to receive the benefits of approval, including complimentary training registration and inclusion on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817—14.6</w:t>
      </w:r>
      <w:r>
        <w:rPr>
          <w:rFonts w:ascii="Times New Roman" w:hAnsi="Times New Roman"/>
          <w:b/>
          <w:i w:val="false"/>
          <w:color w:val="000000"/>
          <w:sz w:val="22"/>
        </w:rPr>
        <w:t xml:space="preserve">(15H)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A national service corps program will be decertified by the commission if it is determined that the program no longer meets the approval standards identified herein for a high-quality national service corps program if program personnel cannot be contacted by the commission, if the program fails to provide documents requested by the commission or if the program fails to complete any required Iowa national service corps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Written notice of the intent to revoke approval will be provided to a national service corps program when the commission determines that there is reasonable cause to believe the program does not comply with these rules. Notice will be sent at least 30 days before decertification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procedures may be initiated by the commission, by the program, or following investigation of a complaint filed by the general public. A request for an investigation from the public must be in written form and shall specify the reason(s) why the approved national service corps program no longer meets the approval standards. Supporting documentation may be attached to the request. The identity of the complainant is confidential pursuant to Iowa Code section </w:t>
      </w:r>
      <w:hyperlink r:id="rId1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Benefits and designation as an approved national service corps program will continue until the final decision is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817—14.7</w:t>
      </w:r>
      <w:r>
        <w:rPr>
          <w:rFonts w:ascii="Times New Roman" w:hAnsi="Times New Roman"/>
          <w:b/>
          <w:i w:val="false"/>
          <w:color w:val="000000"/>
          <w:sz w:val="22"/>
        </w:rPr>
        <w:t xml:space="preserve">(15H) </w:t>
      </w:r>
      <w:r>
        <w:rPr>
          <w:rFonts w:ascii="Times New Roman" w:hAnsi="Times New Roman"/>
          <w:b/>
          <w:i w:val="false"/>
          <w:color w:val="000000"/>
          <w:sz w:val="22"/>
        </w:rPr>
        <w:t xml:space="preserve">Fraudulent practices in connection with approved national service corps programs. </w:t>
      </w:r>
      <w:r>
        <w:rPr>
          <w:rFonts w:ascii="Times New Roman" w:hAnsi="Times New Roman"/>
          <w:b w:val="false"/>
          <w:i w:val="false"/>
          <w:color w:val="000000"/>
          <w:sz w:val="22"/>
        </w:rPr>
        <w:t>A person is considered to be guilty of a fraudulent practice if the person knowingly falsifies information on an application for the purpose of obtaining approval and any other potential benefits, including those offered through the commission or other state contracts and grants available only to approved national service corps programs. The commission may investigate allegations or complaints of fraudulent practices and will take action to decertify a national service corps program upon concluding that a violation has occurred. A violation under this rule is grounds for decertification of the national service corps program responsible for the violation. Decertification will be in addition to any penalty otherwise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817—14.8</w:t>
      </w:r>
      <w:r>
        <w:rPr>
          <w:rFonts w:ascii="Times New Roman" w:hAnsi="Times New Roman"/>
          <w:b/>
          <w:i w:val="false"/>
          <w:color w:val="000000"/>
          <w:sz w:val="22"/>
        </w:rPr>
        <w:t xml:space="preserve">(15H)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Commission decisions regarding approved national service corps programs may be contested by an adversely affected party as detailed in </w:t>
      </w:r>
      <w:hyperlink r:id="rId1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817—14.9</w:t>
      </w:r>
      <w:r>
        <w:rPr>
          <w:rFonts w:ascii="Times New Roman" w:hAnsi="Times New Roman"/>
          <w:b/>
          <w:i w:val="false"/>
          <w:color w:val="000000"/>
          <w:sz w:val="22"/>
        </w:rPr>
        <w:t xml:space="preserve">(15H) </w:t>
      </w:r>
      <w:r>
        <w:rPr>
          <w:rFonts w:ascii="Times New Roman" w:hAnsi="Times New Roman"/>
          <w:b/>
          <w:i w:val="false"/>
          <w:color w:val="000000"/>
          <w:sz w:val="22"/>
        </w:rPr>
        <w:t xml:space="preserve">Intergovernmental agreements. </w:t>
      </w:r>
      <w:r>
        <w:rPr>
          <w:rFonts w:ascii="Times New Roman" w:hAnsi="Times New Roman"/>
          <w:b w:val="false"/>
          <w:i w:val="false"/>
          <w:color w:val="000000"/>
          <w:sz w:val="22"/>
        </w:rPr>
        <w:t xml:space="preserve">Approved Iowa national service corps programs are considered governmental entities in accordance with rule </w:t>
      </w:r>
      <w:hyperlink r:id="rId18">
        <w:r>
          <w:rPr>
            <w:rStyle w:val="Hyperlink"/>
            <w:rFonts w:ascii="Times New Roman" w:hAnsi="Times New Roman"/>
            <w:b w:val="false"/>
            <w:i w:val="false"/>
            <w:color w:val="000000"/>
            <w:sz w:val="22"/>
          </w:rPr>
          <w:t>11—118.4</w:t>
        </w:r>
      </w:hyperlink>
      <w:r>
        <w:rPr>
          <w:rFonts w:ascii="Times New Roman" w:hAnsi="Times New Roman"/>
          <w:b w:val="false"/>
          <w:i w:val="false"/>
          <w:color w:val="000000"/>
          <w:sz w:val="22"/>
        </w:rPr>
        <w:t>(8A). As such, state agencies or political subdivisions of the state may enter into an agreement for services with any approved Iowa national service corps program directly or through an agreement with the commission and are not required to use competitive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817—14.10</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 xml:space="preserve">State agencies or political subdivisions of the state may establish Iowa national service corps programs or contract with a third-party vendor to assist the agency or political subdivision in establishing such programs. In the case that a vendor is utilized, the program is still considered a governmental entity for the purposes of intergovernmental agreements pursuant to rule </w:t>
      </w:r>
      <w:hyperlink r:id="rId19">
        <w:r>
          <w:rPr>
            <w:rStyle w:val="Hyperlink"/>
            <w:rFonts w:ascii="Times New Roman" w:hAnsi="Times New Roman"/>
            <w:b w:val="false"/>
            <w:i w:val="false"/>
            <w:color w:val="000000"/>
            <w:sz w:val="22"/>
          </w:rPr>
          <w:t>11—118.4</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817—14.11</w:t>
      </w:r>
      <w:r>
        <w:rPr>
          <w:rFonts w:ascii="Times New Roman" w:hAnsi="Times New Roman"/>
          <w:b/>
          <w:i w:val="false"/>
          <w:color w:val="000000"/>
          <w:sz w:val="22"/>
        </w:rPr>
        <w:t xml:space="preserve">(15H) </w:t>
      </w:r>
      <w:r>
        <w:rPr>
          <w:rFonts w:ascii="Times New Roman" w:hAnsi="Times New Roman"/>
          <w:b/>
          <w:i w:val="false"/>
          <w:color w:val="000000"/>
          <w:sz w:val="22"/>
        </w:rPr>
        <w:t xml:space="preserve">Funding priority. </w:t>
      </w:r>
      <w:r>
        <w:rPr>
          <w:rFonts w:ascii="Times New Roman" w:hAnsi="Times New Roman"/>
          <w:b w:val="false"/>
          <w:i w:val="false"/>
          <w:color w:val="000000"/>
          <w:sz w:val="22"/>
        </w:rPr>
        <w:t>State agencies or political subdivisions of the state may give priority to grants or projects funded that utilize Iowa national service corps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817—14.12</w:t>
      </w:r>
      <w:r>
        <w:rPr>
          <w:rFonts w:ascii="Times New Roman" w:hAnsi="Times New Roman"/>
          <w:b/>
          <w:i w:val="false"/>
          <w:color w:val="000000"/>
          <w:sz w:val="22"/>
        </w:rPr>
        <w:t xml:space="preserve">(15H) </w:t>
      </w:r>
      <w:r>
        <w:rPr>
          <w:rFonts w:ascii="Times New Roman" w:hAnsi="Times New Roman"/>
          <w:b/>
          <w:i w:val="false"/>
          <w:color w:val="000000"/>
          <w:sz w:val="22"/>
        </w:rPr>
        <w:t xml:space="preserve">Hiring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State agencies or political subdivisions of the state may establish hiring preferences for any Iowa national service corps or AmeriCorps participant who has successfully completed a year of full-time service or 1,700 hours over a period extending beyond a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Iowa national service corps members may request a letter verifying their eligibility for a hiring preference from the program in which they served or agencies may independently verify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817—14.13</w:t>
      </w:r>
      <w:r>
        <w:rPr>
          <w:rFonts w:ascii="Times New Roman" w:hAnsi="Times New Roman"/>
          <w:b/>
          <w:i w:val="false"/>
          <w:color w:val="000000"/>
          <w:sz w:val="22"/>
        </w:rPr>
        <w:t xml:space="preserve">(15H) </w:t>
      </w:r>
      <w:r>
        <w:rPr>
          <w:rFonts w:ascii="Times New Roman" w:hAnsi="Times New Roman"/>
          <w:b/>
          <w:i w:val="false"/>
          <w:color w:val="000000"/>
          <w:sz w:val="22"/>
        </w:rPr>
        <w:t xml:space="preserve">Participant employment status. </w:t>
      </w:r>
      <w:r>
        <w:rPr>
          <w:rFonts w:ascii="Times New Roman" w:hAnsi="Times New Roman"/>
          <w:b w:val="false"/>
          <w:i w:val="false"/>
          <w:color w:val="000000"/>
          <w:sz w:val="22"/>
        </w:rPr>
        <w:t xml:space="preserve">A person participating in the Iowa national service corps program is not an employee of the organization in which the person is enrolled regardless of whether a stipend is provided; shall be exempt from the merit system requirements of Iowa Code chapter </w:t>
      </w:r>
      <w:hyperlink r:id="rId2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subchapter IV; and is not eligible to receive unemployment compensation benefits under Iowa Code chapter </w:t>
      </w:r>
      <w:hyperlink r:id="rId2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upon completion of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817—14.14</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summer youth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summer youth corps in a given grant year. Types of incentives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 awards that may be used to further educational attainment and that may be earned upon completion of a defined number of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allowances that are not considered wages but are paid evenly over the course of a service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Wages that are based upon the hours worked.</w:t>
      </w:r>
    </w:p>
    <w:p>
      <w:pPr>
        <w:spacing w:before="0" w:after="0"/>
        <w:ind w:left="120"/>
        <w:jc w:val="both"/>
      </w:pPr>
      <w:r>
        <w:rPr>
          <w:rFonts w:ascii="Times New Roman" w:hAnsi="Times New Roman"/>
          <w:b w:val="false"/>
          <w:i w:val="false"/>
          <w:color w:val="000000"/>
          <w:sz w:val="22"/>
        </w:rPr>
        <w:t>Types of incentives or combinations of incentives that may be used for a program design will be described in the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 At a minimum, the criteria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Qualifications of the applicant to manage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new and recompeting applicants, letters of local support verifying coordination and communitywide cooperation;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previous grantees, evidence of ability to submit timely and 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and timeline of planned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Agreement to develop for the project a community partnership group whose membership should include a cross-section of the community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 organization, including staffing pattern;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ability to provide the required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issue a request for applications containing project criteria and application forms for the appropriate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composed of members of the commission grant review committee, individuals with expertise in youth programming, and the citizens of Iowa. Using the criteria in subrule </w:t>
      </w:r>
      <w:hyperlink r:id="rId22">
        <w:r>
          <w:rPr>
            <w:rStyle w:val="Hyperlink"/>
            <w:rFonts w:ascii="Times New Roman" w:hAnsi="Times New Roman"/>
            <w:b w:val="false"/>
            <w:i w:val="false"/>
            <w:color w:val="000000"/>
            <w:sz w:val="22"/>
          </w:rPr>
          <w:t>14.14(2)</w:t>
        </w:r>
      </w:hyperlink>
      <w:r>
        <w:rPr>
          <w:rFonts w:ascii="Times New Roman" w:hAnsi="Times New Roman"/>
          <w:b w:val="false"/>
          <w:i w:val="false"/>
          <w:color w:val="000000"/>
          <w:sz w:val="22"/>
        </w:rPr>
        <w:t>,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projects have been selected for funding will be notified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 as outlined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 for applications will only be issued when there are funds available for this program. To the extent allowable by federal regulations, summer youth corps will always be an acceptable program model for annual AmeriCorps grants and will be listed in the annual AmeriCorps program request for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817—14.15</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green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green corps in a given grant year. Types of incentives or combinations of incentives that may be used for a program design will be described in the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color w:val="000000"/>
          <w:sz w:val="22"/>
        </w:rPr>
        <w:t xml:space="preserve">Designated funds. </w:t>
      </w:r>
      <w:r>
        <w:rPr>
          <w:rFonts w:ascii="Times New Roman" w:hAnsi="Times New Roman"/>
          <w:b w:val="false"/>
          <w:i w:val="false"/>
          <w:color w:val="000000"/>
          <w:sz w:val="22"/>
        </w:rPr>
        <w:t>A percentage of the grants may be designated by the commission to address capacity-building activities that target communities that are already working with existing community improvement programs, including but not limited to the green streets and main street Iowa programs administered by the Iowa economic development authority, and disaster remediation activities by communities located within an area declared to be a disaster area by the President of the United States or the governor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issue a request for applications containing project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which is composed of members of the commission grant review committee, individuals with expertise in youth programming, and the citizens of Iowa. Using the criteria in subrule </w:t>
      </w:r>
      <w:hyperlink r:id="rId23">
        <w:r>
          <w:rPr>
            <w:rStyle w:val="Hyperlink"/>
            <w:rFonts w:ascii="Times New Roman" w:hAnsi="Times New Roman"/>
            <w:b w:val="false"/>
            <w:i w:val="false"/>
            <w:color w:val="000000"/>
            <w:sz w:val="22"/>
          </w:rPr>
          <w:t>14.15(2)</w:t>
        </w:r>
      </w:hyperlink>
      <w:r>
        <w:rPr>
          <w:rFonts w:ascii="Times New Roman" w:hAnsi="Times New Roman"/>
          <w:b w:val="false"/>
          <w:i w:val="false"/>
          <w:color w:val="000000"/>
          <w:sz w:val="22"/>
        </w:rPr>
        <w:t>,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will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requests for applications will only be issued when there are available funds for this program. To the extent allowable by federal regulations, Iowa green corps will always be an acceptable program model for annual AmeriCorps grants and will be listed in the annual AmeriCorps program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will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817—14.16</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reading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criteria. </w:t>
      </w:r>
      <w:r>
        <w:rPr>
          <w:rFonts w:ascii="Times New Roman" w:hAnsi="Times New Roman"/>
          <w:b w:val="false"/>
          <w:i w:val="false"/>
          <w:color w:val="000000"/>
          <w:sz w:val="22"/>
        </w:rPr>
        <w:t xml:space="preserve">The commission and department of education will establish criteria consistent with federal regulations to ensure the alignment of the program with the goals outlined in Iowa Code section </w:t>
      </w:r>
      <w:hyperlink r:id="rId24">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xml:space="preserve">. Any program determined eligible for inclusion as an Iowa reading corps program must ensure that it meets standards outlined by the department of education in </w:t>
      </w:r>
      <w:hyperlink r:id="rId26">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All applicants must be preapproved by the department of education as eligible to compete for Iowa reading corps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 xml:space="preserve">The commission will establish criteria and funding priorities consistent with federal regulations and the goals of the department of education and the commission. Preapproval of applicant eligibility shall be sought as outlined in subrule </w:t>
      </w:r>
      <w:hyperlink r:id="rId27">
        <w:r>
          <w:rPr>
            <w:rStyle w:val="Hyperlink"/>
            <w:rFonts w:ascii="Times New Roman" w:hAnsi="Times New Roman"/>
            <w:b w:val="false"/>
            <w:i w:val="false"/>
            <w:color w:val="000000"/>
            <w:sz w:val="22"/>
          </w:rPr>
          <w:t>14.16(1)</w:t>
        </w:r>
      </w:hyperlink>
      <w:r>
        <w:rPr>
          <w:rFonts w:ascii="Times New Roman" w:hAnsi="Times New Roman"/>
          <w:b w:val="false"/>
          <w:i w:val="false"/>
          <w:color w:val="000000"/>
          <w:sz w:val="22"/>
        </w:rPr>
        <w:t>. Applicants will be considered either in conjunction with the regular AmeriCorps grant process or, in certain cases, through special competitions outlined and announced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14.16(3)</w:t>
      </w:r>
      <w:r>
        <w:rPr>
          <w:rFonts w:ascii="Times New Roman" w:hAnsi="Times New Roman"/>
          <w:b w:val="false"/>
          <w:i w:val="false"/>
          <w:color w:val="000000"/>
          <w:sz w:val="22"/>
        </w:rPr>
        <w:t> </w:t>
      </w:r>
      <w:r>
        <w:rPr>
          <w:rFonts w:ascii="Times New Roman" w:hAnsi="Times New Roman"/>
          <w:b w:val="false"/>
          <w:i/>
          <w:color w:val="000000"/>
          <w:sz w:val="22"/>
        </w:rPr>
        <w:t xml:space="preserve">Designated funds. </w:t>
      </w:r>
      <w:r>
        <w:rPr>
          <w:rFonts w:ascii="Times New Roman" w:hAnsi="Times New Roman"/>
          <w:b w:val="false"/>
          <w:i w:val="false"/>
          <w:color w:val="000000"/>
          <w:sz w:val="22"/>
        </w:rPr>
        <w:t>A percentage of grant funding may be designated by the commission to address specific underserved or high-need geographic areas or schools. In advance of the competition, the commission may also set a minimum amount available for Iowa reading corps grants financed with state, federal and private funds, as well as any minimum or maximum funding amounts for individual applicants based on program need and the service territory of the communities described and, if applicable, past performance of use of funds. The commission may also give priority to programs that serve underserved or high-need areas or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 </w:t>
      </w:r>
      <w:r>
        <w:rPr>
          <w:rFonts w:ascii="Times New Roman" w:hAnsi="Times New Roman"/>
          <w:b w:val="false"/>
          <w:i w:val="false"/>
          <w:color w:val="000000"/>
          <w:sz w:val="22"/>
        </w:rPr>
        <w:t>The commission shall issue a request for applications, which shall include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The applicant shall submit the completed application to the commission according to the timeline identified in the request for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Applications will be reviewed by a grant review committee, which is composed of members of the commission grant review committee, individuals with expertise in youth programming, and citizens of Iowa. The committee will review the applications based on the appropriateness and merit of the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shall be notified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grants—contracts. </w:t>
      </w:r>
      <w:r>
        <w:rPr>
          <w:rFonts w:ascii="Times New Roman" w:hAnsi="Times New Roman"/>
          <w:b w:val="false"/>
          <w:i w:val="false"/>
          <w:color w:val="000000"/>
          <w:sz w:val="22"/>
        </w:rPr>
        <w:t>The commission will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A separate request for applications will be issued only when there are available funds for this program. To the extent allowable by federal regulations, Iowa reading corps will always be an acceptable program model for annual AmeriCorps grants and will be listed in the annual AmeriCorps program request for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817—14.17</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RefugeeRISE AmeriCorps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criteria. </w:t>
      </w:r>
      <w:r>
        <w:rPr>
          <w:rFonts w:ascii="Times New Roman" w:hAnsi="Times New Roman"/>
          <w:b w:val="false"/>
          <w:i w:val="false"/>
          <w:color w:val="000000"/>
          <w:sz w:val="22"/>
        </w:rPr>
        <w:t>The commission and department of health and human services will establish criteria consistent with state-level needs and federal program requirements. Any program deemed eligible for inclusion as a RefugeeRISE AmeriCorps program must meet the standards outlined by the commission and the department in the application instructions. All applicants that wish to be considered as RefugeeRISE AmeriCorps programs shall be considered as part of the AmeriCorps grant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The commission will establish grant criteria and funding priorities consistent with federal regulations and with commission and department of health and human services goals. Applicants will be considered either in conjunction with the RefugeeRISE AmeriCorps grant process or, in certain cases, through special competitions outlined and announced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applications. </w:t>
      </w:r>
      <w:r>
        <w:rPr>
          <w:rFonts w:ascii="Times New Roman" w:hAnsi="Times New Roman"/>
          <w:b w:val="false"/>
          <w:i w:val="false"/>
          <w:color w:val="000000"/>
          <w:sz w:val="22"/>
        </w:rPr>
        <w:t>The commission will issue a request for applications containing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 xml:space="preserve">Applications submitted will be reviewed by a grant review committee that is composed of members of the commission, individuals with expertise in youth programming, and citizens of Iowa. Using the criteria in subrule </w:t>
      </w:r>
      <w:hyperlink r:id="rId28">
        <w:r>
          <w:rPr>
            <w:rStyle w:val="Hyperlink"/>
            <w:rFonts w:ascii="Times New Roman" w:hAnsi="Times New Roman"/>
            <w:b w:val="false"/>
            <w:i w:val="false"/>
            <w:color w:val="000000"/>
            <w:sz w:val="22"/>
          </w:rPr>
          <w:t>14.17(2)</w:t>
        </w:r>
      </w:hyperlink>
      <w:r>
        <w:rPr>
          <w:rFonts w:ascii="Times New Roman" w:hAnsi="Times New Roman"/>
          <w:b w:val="false"/>
          <w:i w:val="false"/>
          <w:color w:val="000000"/>
          <w:sz w:val="22"/>
        </w:rPr>
        <w:t>, the committee will review the applications to determine the appropriateness and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will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817—14.18</w:t>
      </w:r>
      <w:r>
        <w:rPr>
          <w:rFonts w:ascii="Times New Roman" w:hAnsi="Times New Roman"/>
          <w:b/>
          <w:i w:val="false"/>
          <w:color w:val="000000"/>
          <w:sz w:val="22"/>
        </w:rPr>
        <w:t xml:space="preserve">(15H)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 xml:space="preserve">Grant funds awarded under this chapter that are not expended by the specified project closeout date shall revert to the commission and to the community programs account established pursuant to Iowa Code section </w:t>
      </w:r>
      <w:hyperlink r:id="rId29">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5240C</w:t>
      </w:r>
      <w:r>
        <w:rPr>
          <w:rFonts w:ascii="Times New Roman" w:hAnsi="Times New Roman"/>
          <w:b w:val="false"/>
          <w:i w:val="false"/>
          <w:color w:val="000000"/>
          <w:sz w:val="21"/>
        </w:rPr>
        <w:t xml:space="preserve"> (Notice ARC 5120C, IAB 7/29/20)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0474D</w:t>
      </w:r>
      <w:r>
        <w:rPr>
          <w:rFonts w:ascii="Times New Roman" w:hAnsi="Times New Roman"/>
          <w:b w:val="false"/>
          <w:i w:val="false"/>
          <w:color w:val="000000"/>
          <w:sz w:val="21"/>
        </w:rPr>
        <w:t xml:space="preserve"> (Notice ARC 0354D, IAB 6/10/26)</w:t>
      </w:r>
      <w:r>
        <w:rPr>
          <w:rFonts w:ascii="Times New Roman" w:hAnsi="Times New Roman"/>
          <w:b w:val="false"/>
          <w:i w:val="false"/>
          <w:color w:val="000000"/>
          <w:sz w:val="21"/>
        </w:rPr>
        <w:t>, IAB 8/5/26, effective 10/1/26]</w:t>
      </w:r>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5.pdf" Type="http://schemas.openxmlformats.org/officeDocument/2006/relationships/hyperlink" Id="rId5"/>
    <Relationship TargetMode="External" Target="https://www.legis.iowa.gov/docs/ico/chapter/15H.6.pdf" Type="http://schemas.openxmlformats.org/officeDocument/2006/relationships/hyperlink" Id="rId6"/>
    <Relationship TargetMode="External" Target="https://www.legis.iowa.gov/docs/ico/chapter/15H.7.pdf" Type="http://schemas.openxmlformats.org/officeDocument/2006/relationships/hyperlink" Id="rId7"/>
    <Relationship TargetMode="External" Target="https://www.legis.iowa.gov/docs/ico/chapter/15H.8.pdf" Type="http://schemas.openxmlformats.org/officeDocument/2006/relationships/hyperlink" Id="rId8"/>
    <Relationship TargetMode="External" Target="https://www.legis.iowa.gov/docs/iac/rule/817.14.2.pdf" Type="http://schemas.openxmlformats.org/officeDocument/2006/relationships/hyperlink" Id="rId9"/>
    <Relationship TargetMode="External" Target="https://www.legis.iowa.gov/docs/ico/chapter/15H.pdf" Type="http://schemas.openxmlformats.org/officeDocument/2006/relationships/hyperlink" Id="rId10"/>
    <Relationship TargetMode="External" Target="https://www.legis.iowa.gov/docs/ico/chapter/15H.5.pdf" Type="http://schemas.openxmlformats.org/officeDocument/2006/relationships/hyperlink" Id="rId11"/>
    <Relationship TargetMode="External" Target="https://www.legis.iowa.gov/docs/ico/chapter/15H.6.pdf" Type="http://schemas.openxmlformats.org/officeDocument/2006/relationships/hyperlink" Id="rId12"/>
    <Relationship TargetMode="External" Target="https://www.legis.iowa.gov/docs/ico/chapter/15H.7.pdf" Type="http://schemas.openxmlformats.org/officeDocument/2006/relationships/hyperlink" Id="rId13"/>
    <Relationship TargetMode="External" Target="https://www.legis.iowa.gov/docs/ico/chapter/15H.8.pdf" Type="http://schemas.openxmlformats.org/officeDocument/2006/relationships/hyperlink" Id="rId14"/>
    <Relationship TargetMode="External" Target="https://www.legis.iowa.gov/docs/iac/rule/817.14.3.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chapter/7.2506.pdf" Type="http://schemas.openxmlformats.org/officeDocument/2006/relationships/hyperlink" Id="rId17"/>
    <Relationship TargetMode="External" Target="https://www.legis.iowa.gov/docs/iac/rule/11.118.4.pdf" Type="http://schemas.openxmlformats.org/officeDocument/2006/relationships/hyperlink" Id="rId18"/>
    <Relationship TargetMode="External" Target="https://www.legis.iowa.gov/docs/iac/rule/11.118.4.pdf" Type="http://schemas.openxmlformats.org/officeDocument/2006/relationships/hyperlink" Id="rId19"/>
    <Relationship TargetMode="External" Target="https://www.legis.iowa.gov/docs/ico/chapter/8A.pdf" Type="http://schemas.openxmlformats.org/officeDocument/2006/relationships/hyperlink" Id="rId20"/>
    <Relationship TargetMode="External" Target="https://www.legis.iowa.gov/docs/ico/chapter/96.pdf" Type="http://schemas.openxmlformats.org/officeDocument/2006/relationships/hyperlink" Id="rId21"/>
    <Relationship TargetMode="External" Target="https://www.legis.iowa.gov/docs/iac/rule/817.14.14.pdf" Type="http://schemas.openxmlformats.org/officeDocument/2006/relationships/hyperlink" Id="rId22"/>
    <Relationship TargetMode="External" Target="https://www.legis.iowa.gov/docs/iac/rule/817.14.15.pdf" Type="http://schemas.openxmlformats.org/officeDocument/2006/relationships/hyperlink" Id="rId23"/>
    <Relationship TargetMode="External" Target="https://www.legis.iowa.gov/docs/ico/chapter/256.9.pdf" Type="http://schemas.openxmlformats.org/officeDocument/2006/relationships/hyperlink" Id="rId24"/>
    <Relationship TargetMode="External" Target="https://www.legis.iowa.gov/docs/iac/chapter/281.62.pdf" Type="http://schemas.openxmlformats.org/officeDocument/2006/relationships/hyperlink" Id="rId25"/>
    <Relationship TargetMode="External" Target="https://www.legis.iowa.gov/docs/iac/chapter/281.62.pdf" Type="http://schemas.openxmlformats.org/officeDocument/2006/relationships/hyperlink" Id="rId26"/>
    <Relationship TargetMode="External" Target="https://www.legis.iowa.gov/docs/iac/rule/817.14.16.pdf" Type="http://schemas.openxmlformats.org/officeDocument/2006/relationships/hyperlink" Id="rId27"/>
    <Relationship TargetMode="External" Target="https://www.legis.iowa.gov/docs/iac/rule/817.14.17.pdf" Type="http://schemas.openxmlformats.org/officeDocument/2006/relationships/hyperlink" Id="rId28"/>
    <Relationship TargetMode="External" Target="https://www.legis.iowa.gov/docs/ico/chapter/15H.5.pdf" Type="http://schemas.openxmlformats.org/officeDocument/2006/relationships/hyperlink" Id="rId29"/>
    <Relationship TargetMode="External" Target="https://www.legis.iowa.gov/docs/ico/chapter/15H.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