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FUTURE READY IOWA VOLUNTEER MENTOR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10/1/31</w:t>
      </w:r>
    </w:p>
    <w:p>
      <w:pPr>
        <w:spacing w:before="0" w:after="0"/>
        <w:ind w:left="120"/>
        <w:jc w:val="both"/>
      </w:pPr>
      <w:r>
        <w:rPr>
          <w:rFonts w:ascii="Times New Roman" w:hAnsi="Times New Roman"/>
          <w:b/>
          <w:i w:val="false"/>
          <w:color w:val="000000"/>
          <w:sz w:val="22"/>
        </w:rPr>
        <w:t>817—13.1</w:t>
      </w:r>
      <w:r>
        <w:rPr>
          <w:rFonts w:ascii="Times New Roman" w:hAnsi="Times New Roman"/>
          <w:b/>
          <w:i w:val="false"/>
          <w:color w:val="000000"/>
          <w:sz w:val="22"/>
        </w:rPr>
        <w:t xml:space="preserve">(15H)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institution”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256.228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“Grant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future ready Iowa skilled workforce grant program as described in Iowa Code section </w:t>
      </w:r>
      <w:hyperlink r:id="rId6">
        <w:r>
          <w:rPr>
            <w:rStyle w:val="Hyperlink"/>
            <w:rFonts w:ascii="Times New Roman" w:hAnsi="Times New Roman"/>
            <w:b w:val="false"/>
            <w:i w:val="false"/>
            <w:color w:val="000000"/>
            <w:sz w:val="22"/>
          </w:rPr>
          <w:t>256.229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“Last-dollar scholarship”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future ready Iowa skilled workforce last-dollar scholarship program as described in Iowa Code section </w:t>
      </w:r>
      <w:hyperlink r:id="rId7">
        <w:r>
          <w:rPr>
            <w:rStyle w:val="Hyperlink"/>
            <w:rFonts w:ascii="Times New Roman" w:hAnsi="Times New Roman"/>
            <w:b w:val="false"/>
            <w:i w:val="false"/>
            <w:color w:val="000000"/>
            <w:sz w:val="22"/>
          </w:rPr>
          <w:t>256.228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future ready Iowa volunteer mentor program as described in Iowa Code section </w:t>
      </w:r>
      <w:hyperlink r:id="rId8">
        <w:r>
          <w:rPr>
            <w:rStyle w:val="Hyperlink"/>
            <w:rFonts w:ascii="Times New Roman" w:hAnsi="Times New Roman"/>
            <w:b w:val="false"/>
            <w:i w:val="false"/>
            <w:color w:val="000000"/>
            <w:sz w:val="22"/>
          </w:rPr>
          <w:t>15H.10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“Student mentee”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student who has elected to participate in the program, has agreed to program expectations, and has been matched with a volunteer mentor through the program. Student mentees must meet the criteria in Iowa Code sections </w:t>
      </w:r>
      <w:hyperlink r:id="rId9">
        <w:r>
          <w:rPr>
            <w:rStyle w:val="Hyperlink"/>
            <w:rFonts w:ascii="Times New Roman" w:hAnsi="Times New Roman"/>
            <w:b w:val="false"/>
            <w:i w:val="false"/>
            <w:color w:val="000000"/>
            <w:sz w:val="22"/>
          </w:rPr>
          <w:t>256.228</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256.229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“Volunteer mentor”</w:t>
      </w:r>
      <w:r>
        <w:rPr>
          <w:rFonts w:ascii="Times New Roman" w:hAnsi="Times New Roman"/>
          <w:b w:val="false"/>
          <w:i w:val="false"/>
          <w:color w:val="000000"/>
          <w:sz w:val="22"/>
        </w:rPr>
        <w:t> </w:t>
      </w:r>
      <w:r>
        <w:rPr>
          <w:rFonts w:ascii="Times New Roman" w:hAnsi="Times New Roman"/>
          <w:b w:val="false"/>
          <w:i w:val="false"/>
          <w:color w:val="000000"/>
          <w:sz w:val="22"/>
        </w:rPr>
        <w:t>means an adult who has applied to be a mentor, has met the screening guidelines, has attended mentor training, has committed to meeting with the mentee according to program guidelines, and has been matched with a mentee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0473D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817—13.2</w:t>
      </w:r>
      <w:r>
        <w:rPr>
          <w:rFonts w:ascii="Times New Roman" w:hAnsi="Times New Roman"/>
          <w:b/>
          <w:i w:val="false"/>
          <w:color w:val="000000"/>
          <w:sz w:val="22"/>
        </w:rPr>
        <w:t xml:space="preserve">(15H) </w:t>
      </w:r>
      <w:r>
        <w:rPr>
          <w:rFonts w:ascii="Times New Roman" w:hAnsi="Times New Roman"/>
          <w:b/>
          <w:i w:val="false"/>
          <w:color w:val="000000"/>
          <w:sz w:val="22"/>
        </w:rPr>
        <w:t xml:space="preserve">Program standards, guidelines, and expectations. </w:t>
      </w:r>
      <w:r>
        <w:rPr>
          <w:rFonts w:ascii="Times New Roman" w:hAnsi="Times New Roman"/>
          <w:b w:val="false"/>
          <w:i w:val="false"/>
          <w:color w:val="000000"/>
          <w:sz w:val="22"/>
        </w:rPr>
        <w:t>The commission will maintain on its website standards, guidelines, and expectations for a productive and appropriate relationship between volunteer mentors and student mentees. Standards, guidelines, and expectations are aimed at helping students meet the last-dollar scholarship or grant program requirements, identify work-based learning opportunities, and make career-related connections that are advantageous to participants in the program through a healthy mentor-mentee relationship. Failure to adhere to the program standards may result in ineligibility to participate in the program. To the extent possible, volunteer mentors and student mentees will be matched based on sex, career aspirations, geography and mentor-to-mentee ratio.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0473D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817—13.3</w:t>
      </w:r>
      <w:r>
        <w:rPr>
          <w:rFonts w:ascii="Times New Roman" w:hAnsi="Times New Roman"/>
          <w:b/>
          <w:i w:val="false"/>
          <w:color w:val="000000"/>
          <w:sz w:val="22"/>
        </w:rPr>
        <w:t xml:space="preserve">(15H) </w:t>
      </w:r>
      <w:r>
        <w:rPr>
          <w:rFonts w:ascii="Times New Roman" w:hAnsi="Times New Roman"/>
          <w:b/>
          <w:i w:val="false"/>
          <w:color w:val="000000"/>
          <w:sz w:val="22"/>
        </w:rPr>
        <w:t xml:space="preserve">Mentor/mentee agreement. </w:t>
      </w:r>
      <w:r>
        <w:rPr>
          <w:rFonts w:ascii="Times New Roman" w:hAnsi="Times New Roman"/>
          <w:b w:val="false"/>
          <w:i w:val="false"/>
          <w:color w:val="000000"/>
          <w:sz w:val="22"/>
        </w:rPr>
        <w:t>All volunteer mentors and student mentees matched with a volunteer mentor must complete and sign a written agreement issued by the commission as part of the program enrollment process. This does not include students receiving texting services only. Agreements will include expectations on regular communication, appropriate conduct, utilization of the online platform and participation in any training or resources offered to improve the efficacy of the mentor-mentee relationship. Failure by either party to adhere to the agreement may result in dismissal from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0473D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817—13.4</w:t>
      </w:r>
      <w:r>
        <w:rPr>
          <w:rFonts w:ascii="Times New Roman" w:hAnsi="Times New Roman"/>
          <w:b/>
          <w:i w:val="false"/>
          <w:color w:val="000000"/>
          <w:sz w:val="22"/>
        </w:rPr>
        <w:t xml:space="preserve">(15H) </w:t>
      </w:r>
      <w:r>
        <w:rPr>
          <w:rFonts w:ascii="Times New Roman" w:hAnsi="Times New Roman"/>
          <w:b/>
          <w:i w:val="false"/>
          <w:color w:val="000000"/>
          <w:sz w:val="22"/>
        </w:rPr>
        <w:t xml:space="preserve">Mentor request and 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w:t>
      </w:r>
      <w:r>
        <w:rPr>
          <w:rFonts w:ascii="Times New Roman" w:hAnsi="Times New Roman"/>
          <w:b w:val="false"/>
          <w:i w:val="false"/>
          <w:color w:val="000000"/>
          <w:sz w:val="22"/>
        </w:rPr>
        <w:t> </w:t>
      </w:r>
      <w:r>
        <w:rPr>
          <w:rFonts w:ascii="Times New Roman" w:hAnsi="Times New Roman"/>
          <w:b w:val="false"/>
          <w:i/>
          <w:color w:val="000000"/>
          <w:sz w:val="22"/>
        </w:rPr>
        <w:t xml:space="preserve">Mentor request process. </w:t>
      </w:r>
      <w:r>
        <w:rPr>
          <w:rFonts w:ascii="Times New Roman" w:hAnsi="Times New Roman"/>
          <w:b w:val="false"/>
          <w:i w:val="false"/>
          <w:color w:val="000000"/>
          <w:sz w:val="22"/>
        </w:rPr>
        <w:t xml:space="preserve">Students may request a volunteer mentor through the commission’s website or partner agencies, including through referrals from high schools and eligible institutions. Eligible institutions must collaborate in the facilitation of this subrule by providing information on the mentor request process to all students who meet the criteria of Iowa Code sections </w:t>
      </w:r>
      <w:hyperlink r:id="rId11">
        <w:r>
          <w:rPr>
            <w:rStyle w:val="Hyperlink"/>
            <w:rFonts w:ascii="Times New Roman" w:hAnsi="Times New Roman"/>
            <w:b w:val="false"/>
            <w:i w:val="false"/>
            <w:color w:val="000000"/>
            <w:sz w:val="22"/>
          </w:rPr>
          <w:t>256.228</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256.229</w:t>
        </w:r>
      </w:hyperlink>
      <w:r>
        <w:rPr>
          <w:rFonts w:ascii="Times New Roman" w:hAnsi="Times New Roman"/>
          <w:b w:val="false"/>
          <w:i w:val="false"/>
          <w:color w:val="000000"/>
          <w:sz w:val="22"/>
        </w:rPr>
        <w:t>. The college student aid commission may enroll eligible students into the texting services whenever possible to facilitate overall student success and communication about career mentoring opportunities. Students may opt to not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w:t>
      </w:r>
      <w:r>
        <w:rPr>
          <w:rFonts w:ascii="Times New Roman" w:hAnsi="Times New Roman"/>
          <w:b w:val="false"/>
          <w:i w:val="false"/>
          <w:color w:val="000000"/>
          <w:sz w:val="22"/>
        </w:rPr>
        <w:t> </w:t>
      </w:r>
      <w:r>
        <w:rPr>
          <w:rFonts w:ascii="Times New Roman" w:hAnsi="Times New Roman"/>
          <w:b w:val="false"/>
          <w:i/>
          <w:color w:val="000000"/>
          <w:sz w:val="22"/>
        </w:rPr>
        <w:t xml:space="preserve">Mentor application process. </w:t>
      </w:r>
      <w:r>
        <w:rPr>
          <w:rFonts w:ascii="Times New Roman" w:hAnsi="Times New Roman"/>
          <w:b w:val="false"/>
          <w:i w:val="false"/>
          <w:color w:val="000000"/>
          <w:sz w:val="22"/>
        </w:rPr>
        <w:t>Prospective mentors may apply to be a volunteer mentor through the commission’s website or through high schools, eligible institutions, or partner agencies or employers. These partner agencies may also enlist employers and other partners to help make direct mentoring connections with local mentoring cohorts. Prospective mentors must complete an application, consent to an Iowa division of criminal investigation criminal background check, attend orientation training and agree to the minimum commitment and guidelines outlined in the mentor/mentee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0473D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817—13.5</w:t>
      </w:r>
      <w:r>
        <w:rPr>
          <w:rFonts w:ascii="Times New Roman" w:hAnsi="Times New Roman"/>
          <w:b/>
          <w:i w:val="false"/>
          <w:color w:val="000000"/>
          <w:sz w:val="22"/>
        </w:rPr>
        <w:t xml:space="preserve">(15H) </w:t>
      </w:r>
      <w:r>
        <w:rPr>
          <w:rFonts w:ascii="Times New Roman" w:hAnsi="Times New Roman"/>
          <w:b/>
          <w:i w:val="false"/>
          <w:color w:val="000000"/>
          <w:sz w:val="22"/>
        </w:rPr>
        <w:t xml:space="preserve">Subrecipient award process. </w:t>
      </w:r>
      <w:r>
        <w:rPr>
          <w:rFonts w:ascii="Times New Roman" w:hAnsi="Times New Roman"/>
          <w:b w:val="false"/>
          <w:i w:val="false"/>
          <w:color w:val="000000"/>
          <w:sz w:val="22"/>
        </w:rPr>
        <w:t>If the commission deems it necessary, the commission may seek subrecipients to carry out components of the program through the commission’s regular grant program application processes. The commission may also work with partner state agencies to assist in the administration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0473D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15H.10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4722C</w:t>
      </w:r>
      <w:r>
        <w:rPr>
          <w:rFonts w:ascii="Times New Roman" w:hAnsi="Times New Roman"/>
          <w:b w:val="false"/>
          <w:i w:val="false"/>
          <w:color w:val="000000"/>
          <w:sz w:val="21"/>
        </w:rPr>
        <w:t xml:space="preserve"> (Notice ARC 4508C, IAB 6/19/19)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5239C</w:t>
      </w:r>
      <w:r>
        <w:rPr>
          <w:rFonts w:ascii="Times New Roman" w:hAnsi="Times New Roman"/>
          <w:b w:val="false"/>
          <w:i w:val="false"/>
          <w:color w:val="000000"/>
          <w:sz w:val="21"/>
        </w:rPr>
        <w:t xml:space="preserve"> (Notice ARC 5088C, IAB 7/15/20)</w:t>
      </w:r>
      <w:r>
        <w:rPr>
          <w:rFonts w:ascii="Times New Roman" w:hAnsi="Times New Roman"/>
          <w:b w:val="false"/>
          <w:i w:val="false"/>
          <w:color w:val="000000"/>
          <w:sz w:val="21"/>
        </w:rPr>
        <w:t>, IAB 10/21/20, effective 11/25/20]</w:t>
      </w:r>
    </w:p>
    <w:p>
      <w:pPr>
        <w:spacing w:before="0" w:after="0"/>
        <w:ind w:left="120"/>
        <w:jc w:val="center"/>
      </w:pPr>
      <w:r>
        <w:rPr>
          <w:rFonts w:ascii="Times New Roman" w:hAnsi="Times New Roman"/>
          <w:b w:val="false"/>
          <w:i w:val="false"/>
          <w:color w:val="000000"/>
          <w:sz w:val="21"/>
        </w:rPr>
        <w:t>[Filed ARC 0067D</w:t>
      </w:r>
      <w:r>
        <w:rPr>
          <w:rFonts w:ascii="Times New Roman" w:hAnsi="Times New Roman"/>
          <w:b w:val="false"/>
          <w:i w:val="false"/>
          <w:color w:val="000000"/>
          <w:sz w:val="21"/>
        </w:rPr>
        <w:t xml:space="preserve"> (Notice ARC 9661C, IAB 11/12/25)</w:t>
      </w:r>
      <w:r>
        <w:rPr>
          <w:rFonts w:ascii="Times New Roman" w:hAnsi="Times New Roman"/>
          <w:b w:val="false"/>
          <w:i w:val="false"/>
          <w:color w:val="000000"/>
          <w:sz w:val="21"/>
        </w:rPr>
        <w:t>, IAB 2/4/26, effective 4/1/26]</w:t>
      </w:r>
    </w:p>
    <w:p>
      <w:pPr>
        <w:spacing w:before="0" w:after="0"/>
        <w:ind w:left="120"/>
        <w:jc w:val="center"/>
      </w:pPr>
      <w:r>
        <w:rPr>
          <w:rFonts w:ascii="Times New Roman" w:hAnsi="Times New Roman"/>
          <w:b w:val="false"/>
          <w:i w:val="false"/>
          <w:color w:val="000000"/>
          <w:sz w:val="21"/>
        </w:rPr>
        <w:t>[Filed ARC 0473D</w:t>
      </w:r>
      <w:r>
        <w:rPr>
          <w:rFonts w:ascii="Times New Roman" w:hAnsi="Times New Roman"/>
          <w:b w:val="false"/>
          <w:i w:val="false"/>
          <w:color w:val="000000"/>
          <w:sz w:val="21"/>
        </w:rPr>
        <w:t xml:space="preserve"> (Notice ARC 0353D, IAB 6/10/26)</w:t>
      </w:r>
      <w:r>
        <w:rPr>
          <w:rFonts w:ascii="Times New Roman" w:hAnsi="Times New Roman"/>
          <w:b w:val="false"/>
          <w:i w:val="false"/>
          <w:color w:val="000000"/>
          <w:sz w:val="21"/>
        </w:rPr>
        <w:t>, IAB 8/5/26, effective 10/1/26]</w:t>
      </w:r>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228.pdf" Type="http://schemas.openxmlformats.org/officeDocument/2006/relationships/hyperlink" Id="rId5"/>
    <Relationship TargetMode="External" Target="https://www.legis.iowa.gov/docs/ico/chapter/256.229.pdf" Type="http://schemas.openxmlformats.org/officeDocument/2006/relationships/hyperlink" Id="rId6"/>
    <Relationship TargetMode="External" Target="https://www.legis.iowa.gov/docs/ico/chapter/256.228.pdf" Type="http://schemas.openxmlformats.org/officeDocument/2006/relationships/hyperlink" Id="rId7"/>
    <Relationship TargetMode="External" Target="https://www.legis.iowa.gov/docs/ico/chapter/15H.10.pdf" Type="http://schemas.openxmlformats.org/officeDocument/2006/relationships/hyperlink" Id="rId8"/>
    <Relationship TargetMode="External" Target="https://www.legis.iowa.gov/docs/ico/chapter/256.228.pdf" Type="http://schemas.openxmlformats.org/officeDocument/2006/relationships/hyperlink" Id="rId9"/>
    <Relationship TargetMode="External" Target="https://www.legis.iowa.gov/docs/ico/chapter/256.229.pdf" Type="http://schemas.openxmlformats.org/officeDocument/2006/relationships/hyperlink" Id="rId10"/>
    <Relationship TargetMode="External" Target="https://www.legis.iowa.gov/docs/ico/chapter/256.228.pdf" Type="http://schemas.openxmlformats.org/officeDocument/2006/relationships/hyperlink" Id="rId11"/>
    <Relationship TargetMode="External" Target="https://www.legis.iowa.gov/docs/ico/chapter/256.229.pdf" Type="http://schemas.openxmlformats.org/officeDocument/2006/relationships/hyperlink" Id="rId12"/>
    <Relationship TargetMode="External" Target="https://www.legis.iowa.gov/docs/ico/chapter/15H.10.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