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TEMPORARY VETERINARY PERMITS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811—9.1</w:t>
      </w:r>
      <w:r>
        <w:rPr>
          <w:rFonts w:ascii="Times New Roman" w:hAnsi="Times New Roman"/>
          <w:b/>
          <w:i w:val="false"/>
          <w:color w:val="000000"/>
          <w:sz w:val="22"/>
        </w:rPr>
        <w:t xml:space="preserve">(169) </w:t>
      </w:r>
      <w:r>
        <w:rPr>
          <w:rFonts w:ascii="Times New Roman" w:hAnsi="Times New Roman"/>
          <w:b/>
          <w:i w:val="false"/>
          <w:color w:val="000000"/>
          <w:sz w:val="22"/>
        </w:rPr>
        <w:t xml:space="preserve">Eligibility for a temporary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color w:val="000000"/>
          <w:sz w:val="22"/>
        </w:rPr>
        <w:t xml:space="preserve">Temporary educational permit. </w:t>
      </w:r>
      <w:r>
        <w:rPr>
          <w:rFonts w:ascii="Times New Roman" w:hAnsi="Times New Roman"/>
          <w:b w:val="false"/>
          <w:i w:val="false"/>
          <w:color w:val="000000"/>
          <w:sz w:val="22"/>
        </w:rPr>
        <w:t>For the purpose of this subrule, “qualified applicant” means a person who is undertaking internship or residency training at Iowa State University College of Veterinary Medicine. A temporary educational permit may be issued upon application to a qualified applicant who does not also seek an Iowa veterinary license. A temporary educational permit allows the permit holder to act as a licensed veterinarian, including for privately owned animals, but only within the scope of the permit holder’s internship or residency program at Iowa State University College of Veterinary Medicine. Verification of internship or residency consists of an endorsement signed by the dean of the school and submitted directly to the board by the school. A temporary educational permit expires upon termination of the permit holder’s internship or residency program, as reported by the dean of the school of veterinary medicine. An initial temporary educational permit may be issued by the board for a term of up to two years. An initial temporary educational permit may be renewed by the board for a term of up to one year. No more than two renewals will be granted to the same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color w:val="000000"/>
          <w:sz w:val="22"/>
        </w:rPr>
        <w:t xml:space="preserve">Temporary in-state practice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temporary in-state practice permit may be issued upon application to a qualified applicant who does not also seek an Iowa license. For the purpose of this subrule, “qualified applicant” means a person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graduated from an AVMA-accredited or AVMA-listed school of veterinary medicine or has received an ECFVG or PAVE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licensed in good standing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Has, in the case of an applicant with a non-Iowa license seeking licensure under Iowa Code section </w:t>
      </w:r>
      <w:hyperlink r:id="rId5">
        <w:r>
          <w:rPr>
            <w:rStyle w:val="Hyperlink"/>
            <w:rFonts w:ascii="Times New Roman" w:hAnsi="Times New Roman"/>
            <w:b w:val="false"/>
            <w:i w:val="false"/>
            <w:color w:val="000000"/>
            <w:sz w:val="22"/>
          </w:rPr>
          <w:t>169.10(1)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completed the National Board Examination (NBE) if the applicant’s non-Iowa license was issued between December 31, 1964, and December 31, 1979.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completed the NBE and the Clinical Competency Test (CCT) if the applicant’s non-Iowa license was issued between January 1, 1980, and December 31,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Successfully completed the NAVLE in accordance with rule </w:t>
      </w:r>
      <w:hyperlink r:id="rId6">
        <w:r>
          <w:rPr>
            <w:rStyle w:val="Hyperlink"/>
            <w:rFonts w:ascii="Times New Roman" w:hAnsi="Times New Roman"/>
            <w:b w:val="false"/>
            <w:i w:val="false"/>
            <w:color w:val="000000"/>
            <w:sz w:val="22"/>
          </w:rPr>
          <w:t>811—7.1</w:t>
        </w:r>
      </w:hyperlink>
      <w:r>
        <w:rPr>
          <w:rFonts w:ascii="Times New Roman" w:hAnsi="Times New Roman"/>
          <w:b w:val="false"/>
          <w:i w:val="false"/>
          <w:color w:val="000000"/>
          <w:sz w:val="22"/>
        </w:rPr>
        <w:t>(169) if the applicant’s non-Iowa license was issued on or after January 1,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temporary permit is issued in accordance with Iowa Code section </w:t>
      </w:r>
      <w:hyperlink r:id="rId7">
        <w:r>
          <w:rPr>
            <w:rStyle w:val="Hyperlink"/>
            <w:rFonts w:ascii="Times New Roman" w:hAnsi="Times New Roman"/>
            <w:b w:val="false"/>
            <w:i w:val="false"/>
            <w:color w:val="000000"/>
            <w:sz w:val="22"/>
          </w:rPr>
          <w:t>169.11(2)</w:t>
        </w:r>
      </w:hyperlink>
      <w:r>
        <w:rPr>
          <w:rFonts w:ascii="Times New Roman" w:hAnsi="Times New Roman"/>
          <w:b w:val="false"/>
          <w:i w:val="false"/>
          <w:color w:val="000000"/>
          <w:sz w:val="22"/>
        </w:rPr>
        <w:t>. The temporary in-state practice permit allows the permit holder to act as a licensed veterinarian in this state. A person cannot obtain more than three temporary permits.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811—9.2</w:t>
      </w:r>
      <w:r>
        <w:rPr>
          <w:rFonts w:ascii="Times New Roman" w:hAnsi="Times New Roman"/>
          <w:b/>
          <w:i w:val="false"/>
          <w:color w:val="000000"/>
          <w:sz w:val="22"/>
        </w:rPr>
        <w:t xml:space="preserve">(169)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val="false"/>
          <w:color w:val="000000"/>
          <w:sz w:val="22"/>
        </w:rPr>
        <w:t>An application for a temporary permit is to be made on a form provided by the board. The application will state whether the applicant is applying for a temporary educational permit or a temporary in-state practice permit. The applicant will provide a statement indicating all jurisdictions in which the applicant is or has ever been licensed to practice veterinary medicine and consent to the release of information to the board from jurisdictions in which the applicant is or has ever been licensed.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val="false"/>
          <w:color w:val="000000"/>
          <w:sz w:val="22"/>
        </w:rPr>
        <w:t>The board may require from an applicant or obtain from other sources such other information pertinent to character and education of the applicant as it may deem necessary in order to pass upon the applicant’s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an applicant under subrule </w:t>
      </w:r>
      <w:hyperlink r:id="rId8">
        <w:r>
          <w:rPr>
            <w:rStyle w:val="Hyperlink"/>
            <w:rFonts w:ascii="Times New Roman" w:hAnsi="Times New Roman"/>
            <w:b w:val="false"/>
            <w:i w:val="false"/>
            <w:color w:val="000000"/>
            <w:sz w:val="22"/>
          </w:rPr>
          <w:t>9.1(2)</w:t>
        </w:r>
      </w:hyperlink>
      <w:r>
        <w:rPr>
          <w:rFonts w:ascii="Times New Roman" w:hAnsi="Times New Roman"/>
          <w:b w:val="false"/>
          <w:i w:val="false"/>
          <w:color w:val="000000"/>
          <w:sz w:val="22"/>
        </w:rPr>
        <w:t>, the applicant will provide evidence of approved continuing education totaling at least 60 hours obtained in the previous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w:t>
      </w:r>
      <w:r>
        <w:rPr>
          <w:rFonts w:ascii="Times New Roman" w:hAnsi="Times New Roman"/>
          <w:b w:val="false"/>
          <w:i w:val="false"/>
          <w:color w:val="000000"/>
          <w:sz w:val="22"/>
        </w:rPr>
        <w:t> </w:t>
      </w:r>
      <w:r>
        <w:rPr>
          <w:rFonts w:ascii="Times New Roman" w:hAnsi="Times New Roman"/>
          <w:b w:val="false"/>
          <w:i w:val="false"/>
          <w:color w:val="000000"/>
          <w:sz w:val="22"/>
        </w:rPr>
        <w:t>The temporary permit fee and the application fee will accompany the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811—9.3</w:t>
      </w:r>
      <w:r>
        <w:rPr>
          <w:rFonts w:ascii="Times New Roman" w:hAnsi="Times New Roman"/>
          <w:b/>
          <w:i w:val="false"/>
          <w:color w:val="000000"/>
          <w:sz w:val="22"/>
        </w:rPr>
        <w:t xml:space="preserve">(169) </w:t>
      </w:r>
      <w:r>
        <w:rPr>
          <w:rFonts w:ascii="Times New Roman" w:hAnsi="Times New Roman"/>
          <w:b/>
          <w:i w:val="false"/>
          <w:color w:val="000000"/>
          <w:sz w:val="22"/>
        </w:rPr>
        <w:t xml:space="preserve">Practice without benefit of temporary permit or Iowa license. </w:t>
      </w:r>
      <w:r>
        <w:rPr>
          <w:rFonts w:ascii="Times New Roman" w:hAnsi="Times New Roman"/>
          <w:b w:val="false"/>
          <w:i w:val="false"/>
          <w:color w:val="000000"/>
          <w:sz w:val="22"/>
        </w:rPr>
        <w:t xml:space="preserve">An applicant for a temporary permit or an Iowa license cannot engage in the practice of veterinary medicine unless and until a temporary permit or Iowa license is granted by the board. Prior to the issuance of the temporary permit or Iowa license, an applicant who is otherwise qualified under rule </w:t>
      </w:r>
      <w:hyperlink r:id="rId9">
        <w:r>
          <w:rPr>
            <w:rStyle w:val="Hyperlink"/>
            <w:rFonts w:ascii="Times New Roman" w:hAnsi="Times New Roman"/>
            <w:b w:val="false"/>
            <w:i w:val="false"/>
            <w:color w:val="000000"/>
            <w:sz w:val="22"/>
          </w:rPr>
          <w:t>811—9.1</w:t>
        </w:r>
      </w:hyperlink>
      <w:r>
        <w:rPr>
          <w:rFonts w:ascii="Times New Roman" w:hAnsi="Times New Roman"/>
          <w:b w:val="false"/>
          <w:i w:val="false"/>
          <w:color w:val="000000"/>
          <w:sz w:val="22"/>
        </w:rPr>
        <w:t xml:space="preserve">(169) may perform within the same scope of authority as a licensed veterinary technician as provided in </w:t>
      </w:r>
      <w:hyperlink r:id="rId10">
        <w:r>
          <w:rPr>
            <w:rStyle w:val="Hyperlink"/>
            <w:rFonts w:ascii="Times New Roman" w:hAnsi="Times New Roman"/>
            <w:b w:val="false"/>
            <w:i w:val="false"/>
            <w:color w:val="000000"/>
            <w:sz w:val="22"/>
          </w:rPr>
          <w:t>811—Chapter 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811—9.4</w:t>
      </w:r>
      <w:r>
        <w:rPr>
          <w:rFonts w:ascii="Times New Roman" w:hAnsi="Times New Roman"/>
          <w:b/>
          <w:i w:val="false"/>
          <w:color w:val="000000"/>
          <w:sz w:val="22"/>
        </w:rPr>
        <w:t xml:space="preserve">(169) </w:t>
      </w:r>
      <w:r>
        <w:rPr>
          <w:rFonts w:ascii="Times New Roman" w:hAnsi="Times New Roman"/>
          <w:b/>
          <w:i w:val="false"/>
          <w:color w:val="000000"/>
          <w:sz w:val="22"/>
        </w:rPr>
        <w:t xml:space="preserve">Grounds for discipline and disciplinary procedures. </w:t>
      </w:r>
      <w:r>
        <w:rPr>
          <w:rFonts w:ascii="Times New Roman" w:hAnsi="Times New Roman"/>
          <w:b w:val="false"/>
          <w:i w:val="false"/>
          <w:color w:val="000000"/>
          <w:sz w:val="22"/>
        </w:rPr>
        <w:t xml:space="preserve">A disciplinary action against a permit holder, including grounds for disciplinary action, is governed by </w:t>
      </w:r>
      <w:hyperlink r:id="rId11">
        <w:r>
          <w:rPr>
            <w:rStyle w:val="Hyperlink"/>
            <w:rFonts w:ascii="Times New Roman" w:hAnsi="Times New Roman"/>
            <w:b w:val="false"/>
            <w:i w:val="false"/>
            <w:color w:val="000000"/>
            <w:sz w:val="22"/>
          </w:rPr>
          <w:t>811—Chapter 10</w:t>
        </w:r>
      </w:hyperlink>
      <w:r>
        <w:rPr>
          <w:rFonts w:ascii="Times New Roman" w:hAnsi="Times New Roman"/>
          <w:b w:val="false"/>
          <w:i w:val="false"/>
          <w:color w:val="000000"/>
          <w:sz w:val="22"/>
        </w:rPr>
        <w:t xml:space="preserve">. In addition to the applicable grounds set forth in </w:t>
      </w:r>
      <w:hyperlink r:id="rId12">
        <w:r>
          <w:rPr>
            <w:rStyle w:val="Hyperlink"/>
            <w:rFonts w:ascii="Times New Roman" w:hAnsi="Times New Roman"/>
            <w:b w:val="false"/>
            <w:i w:val="false"/>
            <w:color w:val="000000"/>
            <w:sz w:val="22"/>
          </w:rPr>
          <w:t>811—Chapter 10</w:t>
        </w:r>
      </w:hyperlink>
      <w:r>
        <w:rPr>
          <w:rFonts w:ascii="Times New Roman" w:hAnsi="Times New Roman"/>
          <w:b w:val="false"/>
          <w:i w:val="false"/>
          <w:color w:val="000000"/>
          <w:sz w:val="22"/>
        </w:rPr>
        <w:t>, an applicant for a temporary permit or an Iowa license who engages in the practice of veterinary medicine prior to the issuance of the temporary permit or Iowa license is subject to denial or revocation of the temporary permit, denial or revocation of the Iowa license, and referral for civil or criminal prosecution, at the board’s discretion.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3/2/78, Notice 9/21/77—published 3/22/78, effective 4/26/78]</w:t>
      </w:r>
    </w:p>
    <w:p>
      <w:pPr>
        <w:spacing w:before="0" w:after="0"/>
        <w:ind w:left="120"/>
        <w:jc w:val="center"/>
      </w:pPr>
      <w:r>
        <w:rPr>
          <w:rFonts w:ascii="Times New Roman" w:hAnsi="Times New Roman"/>
          <w:b w:val="false"/>
          <w:i w:val="false"/>
          <w:color w:val="000000"/>
          <w:sz w:val="21"/>
        </w:rPr>
        <w:t>[Filed 4/10/81, Notice 3/4/81—published 4/29/81, effective 6/3/81]</w:t>
      </w:r>
    </w:p>
    <w:p>
      <w:pPr>
        <w:spacing w:before="0" w:after="0"/>
        <w:ind w:left="120"/>
        <w:jc w:val="center"/>
      </w:pPr>
      <w:r>
        <w:rPr>
          <w:rFonts w:ascii="Times New Roman" w:hAnsi="Times New Roman"/>
          <w:b w:val="false"/>
          <w:i w:val="false"/>
          <w:color w:val="000000"/>
          <w:sz w:val="21"/>
        </w:rPr>
        <w:t>[Filed 11/13/87, Notice 10/7/87—published 12/2/87, effective 1/6/88]</w:t>
      </w:r>
    </w:p>
    <w:p>
      <w:pPr>
        <w:spacing w:before="0" w:after="0"/>
        <w:ind w:left="120"/>
        <w:jc w:val="center"/>
      </w:pPr>
      <w:r>
        <w:rPr>
          <w:rFonts w:ascii="Times New Roman" w:hAnsi="Times New Roman"/>
          <w:b w:val="false"/>
          <w:i w:val="false"/>
          <w:color w:val="000000"/>
          <w:sz w:val="21"/>
        </w:rPr>
        <w:t>[Filed 1/20/89, Notice 11/16/88—published 2/8/89, effective 3/15/89]</w:t>
      </w:r>
    </w:p>
    <w:p>
      <w:pPr>
        <w:spacing w:before="0" w:after="0"/>
        <w:ind w:left="120"/>
        <w:jc w:val="center"/>
      </w:pPr>
      <w:r>
        <w:rPr>
          <w:rFonts w:ascii="Times New Roman" w:hAnsi="Times New Roman"/>
          <w:b w:val="false"/>
          <w:i w:val="false"/>
          <w:color w:val="000000"/>
          <w:sz w:val="21"/>
        </w:rPr>
        <w:t>[Filed 1/30/92, Notice 9/18/91—published 2/19/92, effective 3/25/92]</w:t>
      </w:r>
    </w:p>
    <w:p>
      <w:pPr>
        <w:spacing w:before="0" w:after="0"/>
        <w:ind w:left="120"/>
        <w:jc w:val="center"/>
      </w:pPr>
      <w:r>
        <w:rPr>
          <w:rFonts w:ascii="Times New Roman" w:hAnsi="Times New Roman"/>
          <w:b w:val="false"/>
          <w:i w:val="false"/>
          <w:color w:val="000000"/>
          <w:sz w:val="21"/>
        </w:rPr>
        <w:t>[Filed 10/27/98, Notice 9/9/98—published 11/18/98, effective 12/23/98]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9/4/08</w:t>
      </w:r>
      <w:r>
        <w:rPr>
          <w:rFonts w:ascii="Times New Roman" w:hAnsi="Times New Roman"/>
          <w:b w:val="false"/>
          <w:i w:val="false"/>
          <w:color w:val="000000"/>
          <w:sz w:val="21"/>
        </w:rPr>
        <w:t xml:space="preserve">, Notices </w:t>
      </w:r>
      <w:r>
        <w:rPr>
          <w:rFonts w:ascii="Times New Roman" w:hAnsi="Times New Roman"/>
          <w:b w:val="false"/>
          <w:i w:val="false"/>
          <w:color w:val="000000"/>
          <w:sz w:val="21"/>
        </w:rPr>
        <w:t>4/23/08</w:t>
      </w:r>
      <w:r>
        <w:rPr>
          <w:rFonts w:ascii="Times New Roman" w:hAnsi="Times New Roman"/>
          <w:b w:val="false"/>
          <w:i w:val="false"/>
          <w:color w:val="000000"/>
          <w:sz w:val="21"/>
        </w:rPr>
        <w:t xml:space="preserv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8018C</w:t>
      </w:r>
      <w:r>
        <w:rPr>
          <w:rFonts w:ascii="Times New Roman" w:hAnsi="Times New Roman"/>
          <w:b w:val="false"/>
          <w:i w:val="false"/>
          <w:color w:val="000000"/>
          <w:sz w:val="21"/>
        </w:rPr>
        <w:t xml:space="preserve"> (Notice ARC 7564C, IAB 1/24/24)</w:t>
      </w:r>
      <w:r>
        <w:rPr>
          <w:rFonts w:ascii="Times New Roman" w:hAnsi="Times New Roman"/>
          <w:b w:val="false"/>
          <w:i w:val="false"/>
          <w:color w:val="000000"/>
          <w:sz w:val="21"/>
        </w:rPr>
        <w:t>, IAB 5/15/24, effective 7/1/24]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9.10.pdf" Type="http://schemas.openxmlformats.org/officeDocument/2006/relationships/hyperlink" Id="rId5"/>
    <Relationship TargetMode="External" Target="https://www.legis.iowa.gov/docs/iac/rule/811.7.1.pdf" Type="http://schemas.openxmlformats.org/officeDocument/2006/relationships/hyperlink" Id="rId6"/>
    <Relationship TargetMode="External" Target="https://www.legis.iowa.gov/docs/ico/chapter/169.11.pdf" Type="http://schemas.openxmlformats.org/officeDocument/2006/relationships/hyperlink" Id="rId7"/>
    <Relationship TargetMode="External" Target="https://www.legis.iowa.gov/docs/iac/rule/811.9.1.pdf" Type="http://schemas.openxmlformats.org/officeDocument/2006/relationships/hyperlink" Id="rId8"/>
    <Relationship TargetMode="External" Target="https://www.legis.iowa.gov/docs/iac/rule/811.9.1.pdf" Type="http://schemas.openxmlformats.org/officeDocument/2006/relationships/hyperlink" Id="rId9"/>
    <Relationship TargetMode="External" Target="https://www.legis.iowa.gov/docs/iac/chapter/811.8.pdf" Type="http://schemas.openxmlformats.org/officeDocument/2006/relationships/hyperlink" Id="rId10"/>
    <Relationship TargetMode="External" Target="https://www.legis.iowa.gov/docs/iac/chapter/811.10.pdf" Type="http://schemas.openxmlformats.org/officeDocument/2006/relationships/hyperlink" Id="rId11"/>
    <Relationship TargetMode="External" Target="https://www.legis.iowa.gov/docs/iac/chapter/811.10.pdf" Type="http://schemas.openxmlformats.org/officeDocument/2006/relationships/hyperlink" Id="rId12"/>
    <Relationship TargetMode="External" Target="https://www.legis.iowa.gov/docs/ico/chapter/169.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