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w:t>
      </w:r>
    </w:p>
    <w:p>
      <w:pPr>
        <w:spacing w:before="0" w:after="0"/>
        <w:ind w:left="120"/>
        <w:jc w:val="center"/>
      </w:pPr>
      <w:r>
        <w:rPr>
          <w:rFonts w:ascii="Times New Roman" w:hAnsi="Times New Roman"/>
          <w:b w:val="false"/>
          <w:i w:val="false"/>
          <w:color w:val="000000"/>
          <w:sz w:val="21"/>
        </w:rPr>
        <w:t>AUXILIARY PERSONNEL</w:t>
      </w:r>
    </w:p>
    <w:p>
      <w:pPr>
        <w:spacing w:before="0" w:after="0"/>
        <w:ind w:left="120"/>
        <w:jc w:val="center"/>
      </w:pPr>
      <w:r>
        <w:rPr>
          <w:rFonts w:ascii="Times New Roman" w:hAnsi="Times New Roman"/>
          <w:b w:val="false"/>
          <w:i w:val="false"/>
          <w:color w:val="000000"/>
          <w:sz w:val="14"/>
        </w:rPr>
        <w:t>[Prior to 2/8/89, Veterinary Medicine, Board of[842] Ch 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7/1/29</w:t>
      </w:r>
    </w:p>
    <w:p>
      <w:pPr>
        <w:spacing w:before="0" w:after="0"/>
        <w:ind w:left="120"/>
        <w:jc w:val="both"/>
      </w:pPr>
      <w:r>
        <w:rPr>
          <w:rFonts w:ascii="Times New Roman" w:hAnsi="Times New Roman"/>
          <w:b/>
          <w:i w:val="false"/>
          <w:color w:val="000000"/>
          <w:sz w:val="22"/>
        </w:rPr>
        <w:t>811—8.1</w:t>
      </w:r>
      <w:r>
        <w:rPr>
          <w:rFonts w:ascii="Times New Roman" w:hAnsi="Times New Roman"/>
          <w:b/>
          <w:i w:val="false"/>
          <w:color w:val="000000"/>
          <w:sz w:val="22"/>
        </w:rPr>
        <w:t xml:space="preserve">(169) </w:t>
      </w:r>
      <w:r>
        <w:rPr>
          <w:rFonts w:ascii="Times New Roman" w:hAnsi="Times New Roman"/>
          <w:b/>
          <w:i w:val="false"/>
          <w:color w:val="000000"/>
          <w:sz w:val="22"/>
        </w:rPr>
        <w:t xml:space="preserve">Registered veterinary technician—certificate of 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requirements set forth in Iowa Code section </w:t>
      </w:r>
      <w:hyperlink r:id="rId5">
        <w:r>
          <w:rPr>
            <w:rStyle w:val="Hyperlink"/>
            <w:rFonts w:ascii="Times New Roman" w:hAnsi="Times New Roman"/>
            <w:b w:val="false"/>
            <w:i w:val="false"/>
            <w:color w:val="000000"/>
            <w:sz w:val="22"/>
          </w:rPr>
          <w:t>169.34(1)</w:t>
        </w:r>
      </w:hyperlink>
      <w:r>
        <w:rPr>
          <w:rFonts w:ascii="Times New Roman" w:hAnsi="Times New Roman"/>
          <w:b w:val="false"/>
          <w:i w:val="false"/>
          <w:color w:val="000000"/>
          <w:sz w:val="22"/>
        </w:rPr>
        <w:t xml:space="preserve">, prior to issuance of a certificate of registration, the applicant will: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Successfully pass the VTSE as approved by the board;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 a statement indicating all jurisdictions in which the applicant is or has ever been certified, licensed, permitted, or otherwise credentialed to perform authorized medical services to an animal patient as a veterinary technician, and consent to release to the board such information from jurisdictions in which the applicant is or has ever been certified, licensed, permitted, or otherwise credentialed;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 information or consent to the release of information pertinent to the character and education of the applicant as the board may deem necessary in order to evaluate the applicant’s qualifications;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evidence of having completed at least 30 hours of approved continuing education within the last three calendar years from the date of the application, unless the applicant recently passed the VTNE within the last three calendar years. New graduates and applicants within one year after the date of graduation are exempt from continuing education requirements for initial certification. Applicants who apply more than one year but less than two years after the date of graduation need to complete at least ten hours of approved continuing education. Applicants who apply more than two years but less than three years after the date of graduation need to complete at least 20 hours of approved continuing education. A maximum of ten hours of continuing education may be achieved by the completion of approved distance education courses.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w:t>
      </w:r>
      <w:r>
        <w:rPr>
          <w:rFonts w:ascii="Times New Roman" w:hAnsi="Times New Roman"/>
          <w:b w:val="false"/>
          <w:i w:val="false"/>
          <w:color w:val="000000"/>
          <w:sz w:val="22"/>
        </w:rPr>
        <w:t> </w:t>
      </w:r>
      <w:r>
        <w:rPr>
          <w:rFonts w:ascii="Times New Roman" w:hAnsi="Times New Roman"/>
          <w:b w:val="false"/>
          <w:i w:val="false"/>
          <w:color w:val="000000"/>
          <w:sz w:val="22"/>
        </w:rPr>
        <w:t>A certificate of registration issued during a triennium, upon the applicant’s completion of these requirements and payment of the prorated triennial certificate of registration fee, is issued for the balance of the triennium. A certificate of registration expires on December 31 of the third year of the triennium.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8017C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811—8.2</w:t>
      </w:r>
      <w:r>
        <w:rPr>
          <w:rFonts w:ascii="Times New Roman" w:hAnsi="Times New Roman"/>
          <w:b/>
          <w:i w:val="false"/>
          <w:color w:val="000000"/>
          <w:sz w:val="22"/>
        </w:rPr>
        <w:t xml:space="preserve">(169) </w:t>
      </w:r>
      <w:r>
        <w:rPr>
          <w:rFonts w:ascii="Times New Roman" w:hAnsi="Times New Roman"/>
          <w:b/>
          <w:i w:val="false"/>
          <w:color w:val="000000"/>
          <w:sz w:val="22"/>
        </w:rPr>
        <w:t xml:space="preserve">Fee schedule for registered veterinary technicians.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w:t>
      </w:r>
      <w:r>
        <w:rPr>
          <w:rFonts w:ascii="Times New Roman" w:hAnsi="Times New Roman"/>
          <w:b w:val="false"/>
          <w:i w:val="false"/>
          <w:color w:val="000000"/>
          <w:sz w:val="22"/>
        </w:rPr>
        <w:t> </w:t>
      </w:r>
      <w:r>
        <w:rPr>
          <w:rFonts w:ascii="Times New Roman" w:hAnsi="Times New Roman"/>
          <w:b w:val="false"/>
          <w:i w:val="false"/>
          <w:color w:val="000000"/>
          <w:sz w:val="22"/>
        </w:rPr>
        <w:t>The following fees are collected by the board and will not be refunded except by board action in unusual circumstances, such as documented illness of the applicant, death of the applicant, inability of the applicant to comply with the rules of the board, or withdrawal of an examination application provided withdrawal is received in writing 45 days prior to the examination date. However, the fees may be waived for qualifying military service personnel upon request. Examination fees are not transferable from one examination to another.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w:t>
      </w:r>
      <w:r>
        <w:rPr>
          <w:rFonts w:ascii="Times New Roman" w:hAnsi="Times New Roman"/>
          <w:b w:val="false"/>
          <w:i w:val="false"/>
          <w:color w:val="000000"/>
          <w:sz w:val="22"/>
        </w:rPr>
        <w:t> </w:t>
      </w:r>
      <w:r>
        <w:rPr>
          <w:rFonts w:ascii="Times New Roman" w:hAnsi="Times New Roman"/>
          <w:b w:val="false"/>
          <w:i w:val="false"/>
          <w:color w:val="000000"/>
          <w:sz w:val="22"/>
        </w:rPr>
        <w:t>Based on the board’s anticipated financial requirements, the following fees are hereby adopted:</w:t>
      </w:r>
    </w:p>
    <w:tbl>
      <w:tblPr>
        <w:tblW w:w="5000" w:type="pct"/>
        <w:tblCellSpacing w:w="0" w:type="auto"/>
        <w:tblBorders>
          <w:top w:val="none"/>
          <w:left w:val="none"/>
          <w:bottom w:val="none"/>
          <w:right w:val="none"/>
          <w:insideH w:val="none"/>
          <w:insideV w:val="none"/>
        </w:tblBorders>
        <w:tblLayout w:type="fixed"/>
      </w:tblPr>
      <w:tblGrid>
        <w:gridCol w:w="8858"/>
        <w:gridCol w:w="2332"/>
      </w:tblGrid>
      <w:tr>
        <w:trPr>
          <w:trHeight w:val="210" w:hRule="atLeast"/>
        </w:trPr>
        <w:tc>
          <w:tcPr>
            <w:tcW w:w="0" w:type="auto"/>
            <w:gridSpan w:val="2"/>
            <w:tcBorders/>
            <w:tcMar>
              <w:top w:w="30" w:type="dxa"/>
              <w:left w:w="30" w:type="dxa"/>
              <w:bottom w:w="15" w:type="dxa"/>
              <w:right w:w="30" w:type="dxa"/>
            </w:tcMar>
            <w:vAlign w:val="top"/>
          </w:tcPr>
          <w:p>
            <w:pPr>
              <w:spacing w:before="0" w:after="0"/>
              <w:ind w:left="376"/>
              <w:jc w:val="left"/>
            </w:pPr>
            <w:r>
              <w:rPr>
                <w:rFonts w:ascii="Times New Roman" w:hAnsi="Times New Roman"/>
                <w:b w:val="false"/>
                <w:i w:val="false"/>
                <w:color w:val="000000"/>
                <w:sz w:val="16"/>
              </w:rPr>
              <w:t>Certificate of registration application fee</w:t>
            </w:r>
            <w:r>
              <w:rPr>
                <w:rFonts w:ascii="Times New Roman" w:hAnsi="Times New Roman"/>
                <w:b w:val="false"/>
                <w:i w:val="false"/>
                <w:color w:val="000000"/>
                <w:sz w:val="16"/>
              </w:rPr>
              <w:t>$45</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376"/>
              <w:jc w:val="left"/>
            </w:pPr>
            <w:r>
              <w:rPr>
                <w:rFonts w:ascii="Times New Roman" w:hAnsi="Times New Roman"/>
                <w:b w:val="false"/>
                <w:i w:val="false"/>
                <w:color w:val="000000"/>
                <w:sz w:val="16"/>
              </w:rPr>
              <w:t>VTNE</w:t>
            </w:r>
            <w:r>
              <w:rPr>
                <w:rFonts w:ascii="Times New Roman" w:hAnsi="Times New Roman"/>
                <w:b w:val="false"/>
                <w:i w:val="false"/>
                <w:color w:val="000000"/>
                <w:sz w:val="16"/>
              </w:rPr>
              <w:t>set by AAVSB</w:t>
            </w:r>
          </w:p>
        </w:tc>
      </w:tr>
      <w:tr>
        <w:trPr>
          <w:trHeight w:val="375" w:hRule="atLeast"/>
        </w:trPr>
        <w:tc>
          <w:tcPr>
            <w:tcW w:w="0" w:type="auto"/>
            <w:gridSpan w:val="2"/>
            <w:tcBorders/>
            <w:tcMar>
              <w:top w:w="30" w:type="dxa"/>
              <w:left w:w="30" w:type="dxa"/>
              <w:bottom w:w="15" w:type="dxa"/>
              <w:right w:w="30" w:type="dxa"/>
            </w:tcMar>
            <w:vAlign w:val="top"/>
          </w:tcPr>
          <w:p>
            <w:pPr>
              <w:spacing w:before="0" w:after="0"/>
              <w:ind w:left="376"/>
              <w:jc w:val="left"/>
            </w:pPr>
            <w:r>
              <w:rPr>
                <w:rFonts w:ascii="Times New Roman" w:hAnsi="Times New Roman"/>
                <w:b w:val="false"/>
                <w:i w:val="false"/>
                <w:color w:val="000000"/>
                <w:sz w:val="16"/>
              </w:rPr>
              <w:t>VTSE</w:t>
            </w:r>
            <w:r>
              <w:rPr>
                <w:rFonts w:ascii="Times New Roman" w:hAnsi="Times New Roman"/>
                <w:b w:val="false"/>
                <w:i w:val="false"/>
                <w:color w:val="000000"/>
                <w:sz w:val="16"/>
              </w:rPr>
              <w:t>set by AAVSB</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376"/>
              <w:jc w:val="left"/>
            </w:pPr>
            <w:r>
              <w:rPr>
                <w:rFonts w:ascii="Times New Roman" w:hAnsi="Times New Roman"/>
                <w:b w:val="false"/>
                <w:i w:val="false"/>
                <w:color w:val="000000"/>
                <w:sz w:val="16"/>
              </w:rPr>
              <w:t>Triennial certificate of registration</w:t>
            </w:r>
            <w:r>
              <w:rPr>
                <w:rFonts w:ascii="Times New Roman" w:hAnsi="Times New Roman"/>
                <w:b w:val="false"/>
                <w:i w:val="false"/>
                <w:color w:val="000000"/>
                <w:sz w:val="16"/>
              </w:rPr>
              <w:t>$30</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376"/>
              <w:jc w:val="left"/>
            </w:pPr>
            <w:r>
              <w:rPr>
                <w:rFonts w:ascii="Times New Roman" w:hAnsi="Times New Roman"/>
                <w:b w:val="false"/>
                <w:i w:val="false"/>
                <w:color w:val="000000"/>
                <w:sz w:val="16"/>
              </w:rPr>
              <w:t>Late renewal penalty</w:t>
            </w:r>
            <w:r>
              <w:rPr>
                <w:rFonts w:ascii="Times New Roman" w:hAnsi="Times New Roman"/>
                <w:b w:val="false"/>
                <w:i w:val="false"/>
                <w:color w:val="000000"/>
                <w:sz w:val="16"/>
              </w:rPr>
              <w:t>$50</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376"/>
              <w:jc w:val="left"/>
            </w:pPr>
            <w:r>
              <w:rPr>
                <w:rFonts w:ascii="Times New Roman" w:hAnsi="Times New Roman"/>
                <w:b w:val="false"/>
                <w:i w:val="false"/>
                <w:color w:val="000000"/>
                <w:sz w:val="16"/>
              </w:rPr>
              <w:t>License by endorsement—application fee</w:t>
            </w:r>
            <w:r>
              <w:rPr>
                <w:rFonts w:ascii="Times New Roman" w:hAnsi="Times New Roman"/>
                <w:b w:val="false"/>
                <w:i w:val="false"/>
                <w:color w:val="000000"/>
                <w:sz w:val="16"/>
              </w:rPr>
              <w:t>$45</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376"/>
              <w:jc w:val="left"/>
            </w:pPr>
            <w:r>
              <w:rPr>
                <w:rFonts w:ascii="Times New Roman" w:hAnsi="Times New Roman"/>
                <w:b w:val="false"/>
                <w:i w:val="false"/>
                <w:color w:val="000000"/>
                <w:sz w:val="16"/>
              </w:rPr>
              <w:t>License by verification—application fee</w:t>
            </w:r>
            <w:r>
              <w:rPr>
                <w:rFonts w:ascii="Times New Roman" w:hAnsi="Times New Roman"/>
                <w:b w:val="false"/>
                <w:i w:val="false"/>
                <w:color w:val="000000"/>
                <w:sz w:val="16"/>
              </w:rPr>
              <w:t>$45</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376"/>
              <w:jc w:val="left"/>
            </w:pPr>
            <w:r>
              <w:rPr>
                <w:rFonts w:ascii="Times New Roman" w:hAnsi="Times New Roman"/>
                <w:b w:val="false"/>
                <w:i w:val="false"/>
                <w:color w:val="000000"/>
                <w:sz w:val="16"/>
              </w:rPr>
              <w:t>Reactivation fee for lapsed or inactive certificate of registration</w:t>
            </w:r>
            <w:r>
              <w:rPr>
                <w:rFonts w:ascii="Times New Roman" w:hAnsi="Times New Roman"/>
                <w:b w:val="false"/>
                <w:i w:val="false"/>
                <w:color w:val="000000"/>
                <w:sz w:val="16"/>
              </w:rPr>
              <w:t>$100</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376"/>
              <w:jc w:val="left"/>
            </w:pPr>
            <w:r>
              <w:rPr>
                <w:rFonts w:ascii="Times New Roman" w:hAnsi="Times New Roman"/>
                <w:b w:val="false"/>
                <w:i w:val="false"/>
                <w:color w:val="000000"/>
                <w:sz w:val="16"/>
              </w:rPr>
              <w:t>Official certificate or registration verification</w:t>
            </w:r>
            <w:r>
              <w:rPr>
                <w:rFonts w:ascii="Times New Roman" w:hAnsi="Times New Roman"/>
                <w:b w:val="false"/>
                <w:i w:val="false"/>
                <w:color w:val="000000"/>
                <w:sz w:val="16"/>
              </w:rPr>
              <w:t>$15</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376"/>
              <w:jc w:val="left"/>
            </w:pPr>
            <w:r>
              <w:rPr>
                <w:rFonts w:ascii="Times New Roman" w:hAnsi="Times New Roman"/>
                <w:b w:val="false"/>
                <w:i w:val="false"/>
                <w:color w:val="000000"/>
                <w:sz w:val="16"/>
              </w:rPr>
              <w:t>Charge for insufficient funds or returned checks</w:t>
            </w:r>
            <w:r>
              <w:rPr>
                <w:rFonts w:ascii="Times New Roman" w:hAnsi="Times New Roman"/>
                <w:b w:val="false"/>
                <w:i w:val="false"/>
                <w:color w:val="000000"/>
                <w:sz w:val="16"/>
              </w:rPr>
              <w:t>$25</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8017C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811—8.3</w:t>
      </w:r>
      <w:r>
        <w:rPr>
          <w:rFonts w:ascii="Times New Roman" w:hAnsi="Times New Roman"/>
          <w:b/>
          <w:i w:val="false"/>
          <w:color w:val="000000"/>
          <w:sz w:val="22"/>
        </w:rPr>
        <w:t xml:space="preserve">(169) </w:t>
      </w:r>
      <w:r>
        <w:rPr>
          <w:rFonts w:ascii="Times New Roman" w:hAnsi="Times New Roman"/>
          <w:b/>
          <w:i w:val="false"/>
          <w:color w:val="000000"/>
          <w:sz w:val="22"/>
        </w:rPr>
        <w:t xml:space="preserve">Veterinary technician state examination. </w:t>
      </w:r>
      <w:r>
        <w:rPr>
          <w:rFonts w:ascii="Times New Roman" w:hAnsi="Times New Roman"/>
          <w:b w:val="false"/>
          <w:i w:val="false"/>
          <w:color w:val="000000"/>
          <w:sz w:val="22"/>
        </w:rPr>
        <w:t>The VTSE is given at least once annually at a site or sites to be designated by the board at least 60 days before the date of the examination. The board may provide for additional veterinary technician state examinations as deemed appropriate. In the event the board provides for additional examinations, the site or sites of the examination are designated by the board at least 60 days prior to the date of the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w:t>
      </w:r>
      <w:r>
        <w:rPr>
          <w:rFonts w:ascii="Times New Roman" w:hAnsi="Times New Roman"/>
          <w:b w:val="false"/>
          <w:i w:val="false"/>
          <w:color w:val="000000"/>
          <w:sz w:val="22"/>
        </w:rPr>
        <w:t> </w:t>
      </w:r>
      <w:r>
        <w:rPr>
          <w:rFonts w:ascii="Times New Roman" w:hAnsi="Times New Roman"/>
          <w:b w:val="false"/>
          <w:i w:val="false"/>
          <w:color w:val="000000"/>
          <w:sz w:val="22"/>
        </w:rPr>
        <w:t>In order for an applicant to sit for the VTSE, the application and fee will need to be received by the board at least 30 days before the date of the examination. The fee for the VTSE may be waived for qualifying military service personnel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8.3(2)</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who fails to earn a passing score on the VTSE is entitled to retake the examination not earlier than 90 days since the applicant last took the examination. The applicant will submit a new application and the application fee in accordance with subrule </w:t>
      </w:r>
      <w:hyperlink r:id="rId6">
        <w:r>
          <w:rPr>
            <w:rStyle w:val="Hyperlink"/>
            <w:rFonts w:ascii="Times New Roman" w:hAnsi="Times New Roman"/>
            <w:b w:val="false"/>
            <w:i w:val="false"/>
            <w:color w:val="000000"/>
            <w:sz w:val="22"/>
          </w:rPr>
          <w:t>8.3(1)</w:t>
        </w:r>
      </w:hyperlink>
      <w:r>
        <w:rPr>
          <w:rFonts w:ascii="Times New Roman" w:hAnsi="Times New Roman"/>
          <w:b w:val="false"/>
          <w:i w:val="false"/>
          <w:color w:val="000000"/>
          <w:sz w:val="22"/>
        </w:rPr>
        <w:t xml:space="preserve"> to retake the VTSE. An applicant is limited to five total attempts at the VTSE; any additional applications to retake the examination beyond the five allowable attempts may be considered by the board and may be granted at the board’s discretion.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8017C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811—8.4</w:t>
      </w:r>
      <w:r>
        <w:rPr>
          <w:rFonts w:ascii="Times New Roman" w:hAnsi="Times New Roman"/>
          <w:b/>
          <w:i w:val="false"/>
          <w:color w:val="000000"/>
          <w:sz w:val="22"/>
        </w:rPr>
        <w:t xml:space="preserve">(272C) </w:t>
      </w:r>
      <w:r>
        <w:rPr>
          <w:rFonts w:ascii="Times New Roman" w:hAnsi="Times New Roman"/>
          <w:b/>
          <w:i w:val="false"/>
          <w:color w:val="000000"/>
          <w:sz w:val="22"/>
        </w:rPr>
        <w:t xml:space="preserve">Registration as veterinary technician by verification. </w:t>
      </w:r>
      <w:r>
        <w:rPr>
          <w:rFonts w:ascii="Times New Roman" w:hAnsi="Times New Roman"/>
          <w:b w:val="false"/>
          <w:i w:val="false"/>
          <w:color w:val="000000"/>
          <w:sz w:val="22"/>
        </w:rPr>
        <w:t>Registration by verification for a veterinary technician is available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 xml:space="preserve">A person may seek registration by verification if the person is registered or licensed in at least one other jurisdiction and in circumstances set forth by Iowa Code section </w:t>
      </w:r>
      <w:hyperlink r:id="rId7">
        <w:r>
          <w:rPr>
            <w:rStyle w:val="Hyperlink"/>
            <w:rFonts w:ascii="Times New Roman" w:hAnsi="Times New Roman"/>
            <w:b w:val="false"/>
            <w:i w:val="false"/>
            <w:color w:val="000000"/>
            <w:sz w:val="22"/>
          </w:rPr>
          <w:t>272C.12(1)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w:t>
      </w:r>
      <w:r>
        <w:rPr>
          <w:rFonts w:ascii="Times New Roman" w:hAnsi="Times New Roman"/>
          <w:b w:val="false"/>
          <w:i w:val="false"/>
          <w:color w:val="000000"/>
          <w:sz w:val="22"/>
        </w:rPr>
        <w:t> </w:t>
      </w:r>
      <w:r>
        <w:rPr>
          <w:rFonts w:ascii="Times New Roman" w:hAnsi="Times New Roman"/>
          <w:b w:val="false"/>
          <w:i/>
          <w:color w:val="000000"/>
          <w:sz w:val="22"/>
        </w:rPr>
        <w:t xml:space="preserve">Board application. </w:t>
      </w:r>
      <w:r>
        <w:rPr>
          <w:rFonts w:ascii="Times New Roman" w:hAnsi="Times New Roman"/>
          <w:b w:val="false"/>
          <w:i w:val="false"/>
          <w:color w:val="000000"/>
          <w:sz w:val="22"/>
        </w:rPr>
        <w:t>The applicant will submit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completed application for registration by verification.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Payment of the application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verification form, completed by the licensing/registration authority in the jurisdiction that issued the applicant’s license or registration, verifying that the applicant’s license or registration in that jurisdiction complies with the requirements of Iowa Code section </w:t>
      </w:r>
      <w:hyperlink r:id="rId8">
        <w:r>
          <w:rPr>
            <w:rStyle w:val="Hyperlink"/>
            <w:rFonts w:ascii="Times New Roman" w:hAnsi="Times New Roman"/>
            <w:b w:val="false"/>
            <w:i w:val="false"/>
            <w:color w:val="000000"/>
            <w:sz w:val="22"/>
          </w:rPr>
          <w:t>272C.12</w:t>
        </w:r>
      </w:hyperlink>
      <w:r>
        <w:rPr>
          <w:rFonts w:ascii="Times New Roman" w:hAnsi="Times New Roman"/>
          <w:b w:val="false"/>
          <w:i w:val="false"/>
          <w:color w:val="000000"/>
          <w:sz w:val="22"/>
        </w:rPr>
        <w:t>. The completed verification form is sent directly from the licensing/registration authority to the board. This form is available on the board’s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Proof of passing the VTSE.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copy of the relevant disciplinary documents if another jurisdiction has taken disciplinary action against the applicant.</w:t>
      </w:r>
    </w:p>
    <w:p>
      <w:pPr>
        <w:spacing w:before="0" w:after="0"/>
        <w:ind w:left="120"/>
        <w:jc w:val="both"/>
      </w:pPr>
      <w:r>
        <w:rPr>
          <w:rFonts w:ascii="Times New Roman" w:hAnsi="Times New Roman"/>
          <w:b w:val="false"/>
          <w:i w:val="false"/>
          <w:color w:val="000000"/>
          <w:sz w:val="22"/>
        </w:rPr>
        <w:t xml:space="preserve">The board can waive these requirements pursuant to Iowa Code section </w:t>
      </w:r>
      <w:hyperlink r:id="rId9">
        <w:r>
          <w:rPr>
            <w:rStyle w:val="Hyperlink"/>
            <w:rFonts w:ascii="Times New Roman" w:hAnsi="Times New Roman"/>
            <w:b w:val="false"/>
            <w:i w:val="false"/>
            <w:color w:val="000000"/>
            <w:sz w:val="22"/>
          </w:rPr>
          <w:t>169.34(1)</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w:t>
      </w:r>
      <w:r>
        <w:rPr>
          <w:rFonts w:ascii="Times New Roman" w:hAnsi="Times New Roman"/>
          <w:b w:val="false"/>
          <w:i w:val="false"/>
          <w:color w:val="000000"/>
          <w:sz w:val="22"/>
        </w:rPr>
        <w:t> </w:t>
      </w:r>
      <w:r>
        <w:rPr>
          <w:rFonts w:ascii="Times New Roman" w:hAnsi="Times New Roman"/>
          <w:b w:val="false"/>
          <w:i/>
          <w:color w:val="000000"/>
          <w:sz w:val="22"/>
        </w:rPr>
        <w:t xml:space="preserve">Applicants with prior discipline or pending licensing complaints or investigations. </w:t>
      </w:r>
      <w:r>
        <w:rPr>
          <w:rFonts w:ascii="Times New Roman" w:hAnsi="Times New Roman"/>
          <w:b w:val="false"/>
          <w:i w:val="false"/>
          <w:color w:val="000000"/>
          <w:sz w:val="22"/>
        </w:rPr>
        <w:t xml:space="preserve">If another jurisdiction has taken disciplinary action against an applicant or if the applicant has a complaint, allegation, or investigation relating to unprofessional conduct pending before any regulating entity in another jurisdiction, the board will proceed according to Iowa Code section </w:t>
      </w:r>
      <w:hyperlink r:id="rId10">
        <w:r>
          <w:rPr>
            <w:rStyle w:val="Hyperlink"/>
            <w:rFonts w:ascii="Times New Roman" w:hAnsi="Times New Roman"/>
            <w:b w:val="false"/>
            <w:i w:val="false"/>
            <w:color w:val="000000"/>
            <w:sz w:val="22"/>
          </w:rPr>
          <w:t>272C.12(1)</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8.4(4)</w:t>
      </w:r>
      <w:r>
        <w:rPr>
          <w:rFonts w:ascii="Times New Roman" w:hAnsi="Times New Roman"/>
          <w:b w:val="false"/>
          <w:i w:val="false"/>
          <w:color w:val="000000"/>
          <w:sz w:val="22"/>
        </w:rPr>
        <w:t> </w:t>
      </w:r>
      <w:r>
        <w:rPr>
          <w:rFonts w:ascii="Times New Roman" w:hAnsi="Times New Roman"/>
          <w:b w:val="false"/>
          <w:i/>
          <w:color w:val="000000"/>
          <w:sz w:val="22"/>
        </w:rPr>
        <w:t xml:space="preserve">Limitations. </w:t>
      </w:r>
      <w:r>
        <w:rPr>
          <w:rFonts w:ascii="Times New Roman" w:hAnsi="Times New Roman"/>
          <w:b w:val="false"/>
          <w:i w:val="false"/>
          <w:color w:val="000000"/>
          <w:sz w:val="22"/>
        </w:rPr>
        <w:t>A person who has had a license/registration revoked, or who has voluntarily surrendered a license/registration while under investigation for unprofessional conduct in another jurisdiction, is ineligible for registration by verification.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8017C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811—8.5</w:t>
      </w:r>
      <w:r>
        <w:rPr>
          <w:rFonts w:ascii="Times New Roman" w:hAnsi="Times New Roman"/>
          <w:b/>
          <w:i w:val="false"/>
          <w:color w:val="000000"/>
          <w:sz w:val="22"/>
        </w:rPr>
        <w:t xml:space="preserve">(272C) </w:t>
      </w:r>
      <w:r>
        <w:rPr>
          <w:rFonts w:ascii="Times New Roman" w:hAnsi="Times New Roman"/>
          <w:b/>
          <w:i w:val="false"/>
          <w:color w:val="000000"/>
          <w:sz w:val="22"/>
        </w:rPr>
        <w:t xml:space="preserve">Applicants with work experience in jurisdictions without licensure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w:t>
      </w:r>
      <w:r>
        <w:rPr>
          <w:rFonts w:ascii="Times New Roman" w:hAnsi="Times New Roman"/>
          <w:b w:val="false"/>
          <w:i w:val="false"/>
          <w:color w:val="000000"/>
          <w:sz w:val="22"/>
        </w:rPr>
        <w:t> </w:t>
      </w:r>
      <w:r>
        <w:rPr>
          <w:rFonts w:ascii="Times New Roman" w:hAnsi="Times New Roman"/>
          <w:b w:val="false"/>
          <w:i/>
          <w:color w:val="000000"/>
          <w:sz w:val="22"/>
        </w:rPr>
        <w:t xml:space="preserve">Work experience. </w:t>
      </w:r>
      <w:r>
        <w:rPr>
          <w:rFonts w:ascii="Times New Roman" w:hAnsi="Times New Roman"/>
          <w:b w:val="false"/>
          <w:i w:val="false"/>
          <w:color w:val="000000"/>
          <w:sz w:val="22"/>
        </w:rPr>
        <w:t xml:space="preserve">An applicant for initial registration who has relocated to Iowa from another jurisdiction that did not need a professional license or registration to practice in the profession may be considered to have met any educational and training requirements if the person meets the requirements detailed in Iowa Code section </w:t>
      </w:r>
      <w:hyperlink r:id="rId11">
        <w:r>
          <w:rPr>
            <w:rStyle w:val="Hyperlink"/>
            <w:rFonts w:ascii="Times New Roman" w:hAnsi="Times New Roman"/>
            <w:b w:val="false"/>
            <w:i w:val="false"/>
            <w:color w:val="000000"/>
            <w:sz w:val="22"/>
          </w:rPr>
          <w:t>272C.13(1)</w:t>
        </w:r>
      </w:hyperlink>
      <w:r>
        <w:rPr>
          <w:rFonts w:ascii="Times New Roman" w:hAnsi="Times New Roman"/>
          <w:b w:val="false"/>
          <w:i w:val="false"/>
          <w:color w:val="000000"/>
          <w:sz w:val="22"/>
        </w:rPr>
        <w:t>. The applicant will satisfy all other requirements, including passing any necessary examinations, to receive a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8.5(2)</w:t>
      </w:r>
      <w:r>
        <w:rPr>
          <w:rFonts w:ascii="Times New Roman" w:hAnsi="Times New Roman"/>
          <w:b w:val="false"/>
          <w:i w:val="false"/>
          <w:color w:val="000000"/>
          <w:sz w:val="22"/>
        </w:rPr>
        <w:t> </w:t>
      </w:r>
      <w:r>
        <w:rPr>
          <w:rFonts w:ascii="Times New Roman" w:hAnsi="Times New Roman"/>
          <w:b w:val="false"/>
          <w:i/>
          <w:color w:val="000000"/>
          <w:sz w:val="22"/>
        </w:rPr>
        <w:t xml:space="preserve">Board application. </w:t>
      </w:r>
      <w:r>
        <w:rPr>
          <w:rFonts w:ascii="Times New Roman" w:hAnsi="Times New Roman"/>
          <w:b w:val="false"/>
          <w:i w:val="false"/>
          <w:color w:val="000000"/>
          <w:sz w:val="22"/>
        </w:rPr>
        <w:t>The applicant will submit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completed application for registration through work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Payment of the application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Proof of passing both the VTNE and VTSE.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8.5(3)</w:t>
      </w:r>
      <w:r>
        <w:rPr>
          <w:rFonts w:ascii="Times New Roman" w:hAnsi="Times New Roman"/>
          <w:b w:val="false"/>
          <w:i w:val="false"/>
          <w:color w:val="000000"/>
          <w:sz w:val="22"/>
        </w:rPr>
        <w:t> </w:t>
      </w:r>
      <w:r>
        <w:rPr>
          <w:rFonts w:ascii="Times New Roman" w:hAnsi="Times New Roman"/>
          <w:b w:val="false"/>
          <w:i/>
          <w:color w:val="000000"/>
          <w:sz w:val="22"/>
        </w:rPr>
        <w:t xml:space="preserve">Mandatory documentation. </w:t>
      </w:r>
      <w:r>
        <w:rPr>
          <w:rFonts w:ascii="Times New Roman" w:hAnsi="Times New Roman"/>
          <w:b w:val="false"/>
          <w:i w:val="false"/>
          <w:color w:val="000000"/>
          <w:sz w:val="22"/>
        </w:rPr>
        <w:t>An applicant who wishes to substitute work experience in lieu of satisfying applicable education or training requirements carries the burden of providing all of the following by submitting relevant documents as part of a completed registration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Proof of Iowa residency, which may include one or more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residential mortgage, lease, or rental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utility bill;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bank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paycheck or pay stub;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property tax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document issued by the federal or state government;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Any other board-approved document that reliably confirms Iowa residency.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Proof of three or more years of work experience within the four years preceding the application for registration, which may include one or more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letter from the applicant’s prior employer documenting the dates of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Paychecks or pay stubs;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other board-approved evidence of sufficient work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Proof that the work experience was in a practice with a scope of practice substantially similar to that for the registration sought in Iowa, which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written statement by the applicant detailing the scope of practice;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Business or marketing materials detailing the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Proof that a professional license/registration was not mandatory in the other state, which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Copies of applicable laws;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Materials from a website operated by a governmental entity;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Materials from a national professional association.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8017C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811—8.6</w:t>
      </w:r>
      <w:r>
        <w:rPr>
          <w:rFonts w:ascii="Times New Roman" w:hAnsi="Times New Roman"/>
          <w:b/>
          <w:i w:val="false"/>
          <w:color w:val="000000"/>
          <w:sz w:val="22"/>
        </w:rPr>
        <w:t xml:space="preserve">(169,272C) </w:t>
      </w:r>
      <w:r>
        <w:rPr>
          <w:rFonts w:ascii="Times New Roman" w:hAnsi="Times New Roman"/>
          <w:b/>
          <w:i w:val="false"/>
          <w:color w:val="000000"/>
          <w:sz w:val="22"/>
        </w:rPr>
        <w:t xml:space="preserve">Endorsed certificate of 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issue an endorsed certificate of registration to an individual who satisfies the requirements set forth in Iowa Code section </w:t>
      </w:r>
      <w:hyperlink r:id="rId12">
        <w:r>
          <w:rPr>
            <w:rStyle w:val="Hyperlink"/>
            <w:rFonts w:ascii="Times New Roman" w:hAnsi="Times New Roman"/>
            <w:b w:val="false"/>
            <w:i w:val="false"/>
            <w:color w:val="000000"/>
            <w:sz w:val="22"/>
          </w:rPr>
          <w:t>169.34(2)</w:t>
        </w:r>
      </w:hyperlink>
      <w:r>
        <w:rPr>
          <w:rFonts w:ascii="Times New Roman" w:hAnsi="Times New Roman"/>
          <w:b w:val="false"/>
          <w:i w:val="false"/>
          <w:color w:val="000000"/>
          <w:sz w:val="22"/>
        </w:rPr>
        <w:t xml:space="preserve"> and who satisfies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Successfully pass the VTSE as approved by the board;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 a statement indicating all jurisdictions in which the applicant is or has ever been certified, licensed, permitted, or otherwise credentialed to perform authorized medical services to an animal patient as a veterinary technician, and consent to release to the board such information from jurisdictions in which the applicant is or has ever been certified, licensed, permitted, or otherwise credentialed;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 information or consent to the release of information pertinent to the character and education of the applicant as the board may deem necessary in order to evaluate the applicant’s qualifications;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Submit evidence of having completed at least 30 hours of approved continuing education within the last three calendar years from the date of the application. New graduates and applicants within one year after the date of graduation are exempt from continuing education requirements for initial certification. Applicants who apply more than one year but less than two years after the date of graduation need to complete at least ten hours of approved continuing education. Applicants who apply more than two years but less than three years after the date of graduation need to complete at least 40 hours of approved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8.6(2)</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can waive these requirements pursuant to Iowa Code section </w:t>
      </w:r>
      <w:hyperlink r:id="rId13">
        <w:r>
          <w:rPr>
            <w:rStyle w:val="Hyperlink"/>
            <w:rFonts w:ascii="Times New Roman" w:hAnsi="Times New Roman"/>
            <w:b w:val="false"/>
            <w:i w:val="false"/>
            <w:color w:val="000000"/>
            <w:sz w:val="22"/>
          </w:rPr>
          <w:t>169.34(2)</w:t>
        </w:r>
      </w:hyperlink>
      <w:r>
        <w:rPr>
          <w:rFonts w:ascii="Times New Roman" w:hAnsi="Times New Roman"/>
          <w:b w:val="false"/>
          <w:i/>
          <w:color w:val="000000"/>
          <w:sz w:val="22"/>
        </w:rPr>
        <w: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8017C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811—8.7</w:t>
      </w:r>
      <w:r>
        <w:rPr>
          <w:rFonts w:ascii="Times New Roman" w:hAnsi="Times New Roman"/>
          <w:b/>
          <w:i w:val="false"/>
          <w:color w:val="000000"/>
          <w:sz w:val="22"/>
        </w:rPr>
        <w:t xml:space="preserve">(169) </w:t>
      </w:r>
      <w:r>
        <w:rPr>
          <w:rFonts w:ascii="Times New Roman" w:hAnsi="Times New Roman"/>
          <w:b/>
          <w:i w:val="false"/>
          <w:color w:val="000000"/>
          <w:sz w:val="22"/>
        </w:rPr>
        <w:t xml:space="preserve">Supervision of veterinary auxiliary personnel.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8.7(1)</w:t>
      </w:r>
      <w:r>
        <w:rPr>
          <w:rFonts w:ascii="Times New Roman" w:hAnsi="Times New Roman"/>
          <w:b w:val="false"/>
          <w:i w:val="false"/>
          <w:color w:val="000000"/>
          <w:sz w:val="22"/>
        </w:rPr>
        <w:t> </w:t>
      </w:r>
      <w:r>
        <w:rPr>
          <w:rFonts w:ascii="Times New Roman" w:hAnsi="Times New Roman"/>
          <w:b w:val="false"/>
          <w:i/>
          <w:color w:val="000000"/>
          <w:sz w:val="22"/>
        </w:rPr>
        <w:t xml:space="preserve">Emergencies. </w:t>
      </w:r>
      <w:r>
        <w:rPr>
          <w:rFonts w:ascii="Times New Roman" w:hAnsi="Times New Roman"/>
          <w:b w:val="false"/>
          <w:i w:val="false"/>
          <w:color w:val="000000"/>
          <w:sz w:val="22"/>
        </w:rPr>
        <w:t xml:space="preserve">Under conditions of an emergency, veterinarian auxiliary personnel may render without supervision such lifesaving aid and treatment under previously established protocols or real time oral instruction via telephone or other means of immediate communication with a veterinarian. Even under conditions of emergency, a veterinary assistant or veterinary technician student may not render additional lifesaving aid and treatment as follows: the administration of emergency pharmaceuticals. Emergency aid and treatment, if rendered to an animal not in the presence of a licensed veterinarian, may only be continued under the supervision of a licensed veterinarian, which in the case of emergency may include telephone or other means of immediate communication with a veterinarian en route to the site, until the veterinarian arrives in a timely manner.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8.7(2)</w:t>
      </w:r>
      <w:r>
        <w:rPr>
          <w:rFonts w:ascii="Times New Roman" w:hAnsi="Times New Roman"/>
          <w:b w:val="false"/>
          <w:i w:val="false"/>
          <w:color w:val="000000"/>
          <w:sz w:val="22"/>
        </w:rPr>
        <w:t> </w:t>
      </w:r>
      <w:r>
        <w:rPr>
          <w:rFonts w:ascii="Times New Roman" w:hAnsi="Times New Roman"/>
          <w:b w:val="false"/>
          <w:i/>
          <w:color w:val="000000"/>
          <w:sz w:val="22"/>
        </w:rPr>
        <w:t xml:space="preserve">Veterinary assistants. </w:t>
      </w:r>
      <w:r>
        <w:rPr>
          <w:rFonts w:ascii="Times New Roman" w:hAnsi="Times New Roman"/>
          <w:b w:val="false"/>
          <w:i w:val="false"/>
          <w:color w:val="000000"/>
          <w:sz w:val="22"/>
        </w:rPr>
        <w:t>The following delegated tasks may be performed by a veterinary assistant under the indicated level of supervision if the supervising veterinarian has delegated the task.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Tasks that require direct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Take patient’s medical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Take patient temperature, pulse, and respiratory rate (TPR).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Oscillometric measurement of blood pressure.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Record client/patient complaint(s).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Administer subcutaneous (SQ) and intramuscular (IM) injections.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Administer SQ fluid.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Maintain intravenous (IV) fluids.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Implant growth-promoting implants.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Manage a nasogastric (NG) tube, not including insertion or placement.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Administer and monitor light/moderate sedation.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 xml:space="preserve">Apply government-required identification.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 xml:space="preserve">Administer internal and external parasite treatments.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 xml:space="preserve">Vaccinate livestock.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 xml:space="preserve">Vaccinate companion animals (excluding canine rabies, pursuant to Iowa Code section </w:t>
      </w:r>
      <w:hyperlink r:id="rId14">
        <w:r>
          <w:rPr>
            <w:rStyle w:val="Hyperlink"/>
            <w:rFonts w:ascii="Times New Roman" w:hAnsi="Times New Roman"/>
            <w:b w:val="false"/>
            <w:i w:val="false"/>
            <w:color w:val="000000"/>
            <w:sz w:val="22"/>
          </w:rPr>
          <w:t>351.33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 xml:space="preserve">Radiograph and ultrasound imaging and positioning.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 xml:space="preserve">Ocular tonometry, fluorescein stain, and Schirmer Tear Testing to monitor animal eye health.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 xml:space="preserve">Remove sutures, staples, or drains.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 xml:space="preserve">Venipuncture for the purposes of IV injections and blood withdrawal for sampling.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 xml:space="preserve">IV catheter placement.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 xml:space="preserve">Draining and lancing abscesses.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(21)</w:t>
      </w:r>
      <w:r>
        <w:rPr>
          <w:rFonts w:ascii="Times New Roman" w:hAnsi="Times New Roman"/>
          <w:b w:val="false"/>
          <w:i w:val="false"/>
          <w:color w:val="000000"/>
          <w:sz w:val="22"/>
        </w:rPr>
        <w:t>  </w:t>
      </w:r>
      <w:r>
        <w:rPr>
          <w:rFonts w:ascii="Times New Roman" w:hAnsi="Times New Roman"/>
          <w:b w:val="false"/>
          <w:i w:val="false"/>
          <w:color w:val="000000"/>
          <w:sz w:val="22"/>
        </w:rPr>
        <w:t>Laser therapy treatments.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(22)</w:t>
      </w:r>
      <w:r>
        <w:rPr>
          <w:rFonts w:ascii="Times New Roman" w:hAnsi="Times New Roman"/>
          <w:b w:val="false"/>
          <w:i w:val="false"/>
          <w:color w:val="000000"/>
          <w:sz w:val="22"/>
        </w:rPr>
        <w:t>  </w:t>
      </w:r>
      <w:r>
        <w:rPr>
          <w:rFonts w:ascii="Times New Roman" w:hAnsi="Times New Roman"/>
          <w:b w:val="false"/>
          <w:i w:val="false"/>
          <w:color w:val="000000"/>
          <w:sz w:val="22"/>
        </w:rPr>
        <w:t xml:space="preserve">Take ear swabs and skin impression (needleless) cytology samples.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(23)</w:t>
      </w:r>
      <w:r>
        <w:rPr>
          <w:rFonts w:ascii="Times New Roman" w:hAnsi="Times New Roman"/>
          <w:b w:val="false"/>
          <w:i w:val="false"/>
          <w:color w:val="000000"/>
          <w:sz w:val="22"/>
        </w:rPr>
        <w:t>  </w:t>
      </w:r>
      <w:r>
        <w:rPr>
          <w:rFonts w:ascii="Times New Roman" w:hAnsi="Times New Roman"/>
          <w:b w:val="false"/>
          <w:i w:val="false"/>
          <w:color w:val="000000"/>
          <w:sz w:val="22"/>
        </w:rPr>
        <w:t>Conduct livestock necropsy for sample collection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(24)</w:t>
      </w:r>
      <w:r>
        <w:rPr>
          <w:rFonts w:ascii="Times New Roman" w:hAnsi="Times New Roman"/>
          <w:b w:val="false"/>
          <w:i w:val="false"/>
          <w:color w:val="000000"/>
          <w:sz w:val="22"/>
        </w:rPr>
        <w:t>  </w:t>
      </w:r>
      <w:r>
        <w:rPr>
          <w:rFonts w:ascii="Times New Roman" w:hAnsi="Times New Roman"/>
          <w:b w:val="false"/>
          <w:i w:val="false"/>
          <w:color w:val="000000"/>
          <w:sz w:val="22"/>
        </w:rPr>
        <w:t>Administer medication(s) prescribed by a veterinarian other than medications administered while boarding the animal.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(25)</w:t>
      </w:r>
      <w:r>
        <w:rPr>
          <w:rFonts w:ascii="Times New Roman" w:hAnsi="Times New Roman"/>
          <w:b w:val="false"/>
          <w:i w:val="false"/>
          <w:color w:val="000000"/>
          <w:sz w:val="22"/>
        </w:rPr>
        <w:t>  </w:t>
      </w:r>
      <w:r>
        <w:rPr>
          <w:rFonts w:ascii="Times New Roman" w:hAnsi="Times New Roman"/>
          <w:b w:val="false"/>
          <w:i w:val="false"/>
          <w:color w:val="000000"/>
          <w:sz w:val="22"/>
        </w:rPr>
        <w:t>Rectal palpation for pregnancy testing of a bovine.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Tasks that require immediate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Monitor heavy sedation.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Surgical assistance (including but not limited to passing instruments, tissue retraction, assisting in hemostasis—utilizing sponges and clamps).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Measure blood pressure via doppler.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Nonsurgical castration.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Nonsurgical dehorning.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Place an endotracheal tube (ET) tube.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Administer, maintain, and monitor general anesthesia and recovery from general anesthesia.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Administer an enema.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Animal dynamic rehabilitation therapies.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Dental prophylaxis (teeth cleaning).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Tasks that veterinary assistants are not permitted to perform: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Reading ear and skin cytology.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Equine floating teeth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Gingival resection.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Prohibitions contained in Iowa Code sections </w:t>
      </w:r>
      <w:hyperlink r:id="rId15">
        <w:r>
          <w:rPr>
            <w:rStyle w:val="Hyperlink"/>
            <w:rFonts w:ascii="Times New Roman" w:hAnsi="Times New Roman"/>
            <w:b w:val="false"/>
            <w:i w:val="false"/>
            <w:color w:val="000000"/>
            <w:sz w:val="22"/>
          </w:rPr>
          <w:t>351.33</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169.32(2)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Expression of urinary bladder.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8.7(3)</w:t>
      </w:r>
      <w:r>
        <w:rPr>
          <w:rFonts w:ascii="Times New Roman" w:hAnsi="Times New Roman"/>
          <w:b w:val="false"/>
          <w:i w:val="false"/>
          <w:color w:val="000000"/>
          <w:sz w:val="22"/>
        </w:rPr>
        <w:t> </w:t>
      </w:r>
      <w:r>
        <w:rPr>
          <w:rFonts w:ascii="Times New Roman" w:hAnsi="Times New Roman"/>
          <w:b w:val="false"/>
          <w:i/>
          <w:color w:val="000000"/>
          <w:sz w:val="22"/>
        </w:rPr>
        <w:t xml:space="preserve">Veterinary technician student. </w:t>
      </w:r>
      <w:r>
        <w:rPr>
          <w:rFonts w:ascii="Times New Roman" w:hAnsi="Times New Roman"/>
          <w:b w:val="false"/>
          <w:i w:val="false"/>
          <w:color w:val="000000"/>
          <w:sz w:val="22"/>
        </w:rPr>
        <w:t xml:space="preserve">A veterinary technician student may perform tasks as allowed in subrule </w:t>
      </w:r>
      <w:hyperlink r:id="rId17">
        <w:r>
          <w:rPr>
            <w:rStyle w:val="Hyperlink"/>
            <w:rFonts w:ascii="Times New Roman" w:hAnsi="Times New Roman"/>
            <w:b w:val="false"/>
            <w:i w:val="false"/>
            <w:color w:val="000000"/>
            <w:sz w:val="22"/>
          </w:rPr>
          <w:t>8.7(4)</w:t>
        </w:r>
      </w:hyperlink>
      <w:r>
        <w:rPr>
          <w:rFonts w:ascii="Times New Roman" w:hAnsi="Times New Roman"/>
          <w:b w:val="false"/>
          <w:i w:val="false"/>
          <w:color w:val="000000"/>
          <w:sz w:val="22"/>
        </w:rPr>
        <w:t xml:space="preserve"> for registered veterinary technicians except that the tasks must be performed under the indicated level of supervision if the supervising veterinarian has delegated the task.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Tasks that require direct supervision include all tasks requiring indirect supervision if they were performed by a registered veterinary technician.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Tasks that require immediate supervision include all tasks requiring immediate or direct supervision if they were performed by a registered veterinary technician.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Tasks that are not allowed include all tasks that are not allowed to be performed by a registered veterinary technician.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8.7(4)</w:t>
      </w:r>
      <w:r>
        <w:rPr>
          <w:rFonts w:ascii="Times New Roman" w:hAnsi="Times New Roman"/>
          <w:b w:val="false"/>
          <w:i w:val="false"/>
          <w:color w:val="000000"/>
          <w:sz w:val="22"/>
        </w:rPr>
        <w:t> </w:t>
      </w:r>
      <w:r>
        <w:rPr>
          <w:rFonts w:ascii="Times New Roman" w:hAnsi="Times New Roman"/>
          <w:b w:val="false"/>
          <w:i/>
          <w:color w:val="000000"/>
          <w:sz w:val="22"/>
        </w:rPr>
        <w:t xml:space="preserve">Registered veterinary technician. </w:t>
      </w:r>
      <w:r>
        <w:rPr>
          <w:rFonts w:ascii="Times New Roman" w:hAnsi="Times New Roman"/>
          <w:b w:val="false"/>
          <w:i w:val="false"/>
          <w:color w:val="000000"/>
          <w:sz w:val="22"/>
        </w:rPr>
        <w:t xml:space="preserve">The following delegated tasks may be performed by a registered veterinary technician under the indicated level of supervision if the supervising veterinarian has delegated the task. Unless a different level of supervision is otherwise provided for in subrule </w:t>
      </w:r>
      <w:hyperlink r:id="rId18">
        <w:r>
          <w:rPr>
            <w:rStyle w:val="Hyperlink"/>
            <w:rFonts w:ascii="Times New Roman" w:hAnsi="Times New Roman"/>
            <w:b w:val="false"/>
            <w:i w:val="false"/>
            <w:color w:val="000000"/>
            <w:sz w:val="22"/>
          </w:rPr>
          <w:t>8.7(4)</w:t>
        </w:r>
      </w:hyperlink>
      <w:r>
        <w:rPr>
          <w:rFonts w:ascii="Times New Roman" w:hAnsi="Times New Roman"/>
          <w:b w:val="false"/>
          <w:i w:val="false"/>
          <w:color w:val="000000"/>
          <w:sz w:val="22"/>
        </w:rPr>
        <w:t xml:space="preserve">, registered veterinary technicians may perform those tasks listed in subrule </w:t>
      </w:r>
      <w:hyperlink r:id="rId19">
        <w:r>
          <w:rPr>
            <w:rStyle w:val="Hyperlink"/>
            <w:rFonts w:ascii="Times New Roman" w:hAnsi="Times New Roman"/>
            <w:b w:val="false"/>
            <w:i w:val="false"/>
            <w:color w:val="000000"/>
            <w:sz w:val="22"/>
          </w:rPr>
          <w:t>8.7(2)</w:t>
        </w:r>
      </w:hyperlink>
      <w:r>
        <w:rPr>
          <w:rFonts w:ascii="Times New Roman" w:hAnsi="Times New Roman"/>
          <w:b w:val="false"/>
          <w:i w:val="false"/>
          <w:color w:val="000000"/>
          <w:sz w:val="22"/>
        </w:rPr>
        <w:t xml:space="preserve"> for veterinary assistants under the same level of supervision applicable to veterinary assistants.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Tasks that require indirect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Administration, preparation, and application of treatments, including but not limited to drugs, medications, controlled substances, biological and immunological agents in livestock and previously established biologic and immunologic protocols in companion animals, unless prohibited by government regulation.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Intravenous catheterizations and maintenance of intra-arterial catheterizations.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Collection, preparation, and recording of cellular or microbiological samples impressions or other nonsurgical methods (including skin scrapings), except when in conflict with government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Collection of urine by bladder expression, catheterization (unobstructed) and insertion of an indwelling urinary catheter.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Monitoring, including but not limited to electrocardiogram (ECG), blood pressure, carbon dioxide (CO2) and blood oxygen saturation.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Radiography and ultrasonography imaging.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Clinical laboratory test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Laser therapy.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Staple removal.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 of splints and slings for the temporary immobilization of fractures.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 xml:space="preserve">Euthanasia of livestock as defined in Iowa Code section </w:t>
      </w:r>
      <w:hyperlink r:id="rId20">
        <w:r>
          <w:rPr>
            <w:rStyle w:val="Hyperlink"/>
            <w:rFonts w:ascii="Times New Roman" w:hAnsi="Times New Roman"/>
            <w:b w:val="false"/>
            <w:i w:val="false"/>
            <w:color w:val="000000"/>
            <w:sz w:val="22"/>
          </w:rPr>
          <w:t>717.1(4)</w:t>
        </w:r>
      </w:hyperlink>
      <w:r>
        <w:rPr>
          <w:rFonts w:ascii="Times New Roman" w:hAnsi="Times New Roman"/>
          <w:b w:val="false"/>
          <w:i w:val="false"/>
          <w:color w:val="000000"/>
          <w:sz w:val="22"/>
        </w:rPr>
        <w:t xml:space="preserve">, excluding equine species.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 xml:space="preserve">Measuring blood pressure.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 xml:space="preserve">Rectal palpation for pregnancy testing of a bovine.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Tasks that require direct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General anesthesia and sedation, maintenance and recovery.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Administer general anesthesia.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Nonemergency endotracheal intubation.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Regional anesthesia, including paravertebral blocks and local blocks.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Dental procedures, limited to polishing and the removal of calculus, soft deposits, plaque, and stains.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Blood or blood component collection, preparation, and administration for transfusion or blood banking purposes.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Placement of tubes, including but not limited to gastric, nasogastric, and nasoesophageal.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Ear flushing with pressure or suction.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 of casts, splints, and slings for the immobilization of fractures.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Fluid aspiration from a body cavity or organ (i.e., cystocentesis, thoracocentesis, abdominocentesis).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 xml:space="preserve">Stapling, suturing, and gluing of an existing surgical skin incision.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 xml:space="preserve">Placement of intraosseous and nasal catheters.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 xml:space="preserve">Performing enemas.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 xml:space="preserve">Performing fluorescein stain ocular tonometry or the Schirmer tear test.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 xml:space="preserve">Imaging, including but not limited to diagnostic radiography, diagnostic ultrasonography, computed tomography, magnetic resonance imaging, and fluoroscopy and the administration of radio-opaque agents or materials.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 xml:space="preserve">Collection of blood, except when in conflict with government regulations.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 xml:space="preserve">Administration of new/initial biological and immunological treatment protocols on companion animals.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 xml:space="preserve">Animal dynamic rehabilitation therapies.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Tasks that require immediate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Placing an epidural.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Assisting with surgical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Placing abdominal, thoracic, or percutaneous endoscopic gastrostomy (PEG) tubes.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Extractions of the incisors that do not require sectioning of the tooth or sectioning of the bone.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Euthanizing any animal, including the equine species, that is not livestock as defined in Iowa Code section </w:t>
      </w:r>
      <w:hyperlink r:id="rId21">
        <w:r>
          <w:rPr>
            <w:rStyle w:val="Hyperlink"/>
            <w:rFonts w:ascii="Times New Roman" w:hAnsi="Times New Roman"/>
            <w:b w:val="false"/>
            <w:i w:val="false"/>
            <w:color w:val="000000"/>
            <w:sz w:val="22"/>
          </w:rPr>
          <w:t>717.1(4)</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Shockwave therapy for pain treatment.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8.7(5)</w:t>
      </w:r>
      <w:r>
        <w:rPr>
          <w:rFonts w:ascii="Times New Roman" w:hAnsi="Times New Roman"/>
          <w:b w:val="false"/>
          <w:i w:val="false"/>
          <w:color w:val="000000"/>
          <w:sz w:val="22"/>
        </w:rPr>
        <w:t> </w:t>
      </w:r>
      <w:r>
        <w:rPr>
          <w:rFonts w:ascii="Times New Roman" w:hAnsi="Times New Roman"/>
          <w:b w:val="false"/>
          <w:i/>
          <w:color w:val="000000"/>
          <w:sz w:val="22"/>
        </w:rPr>
        <w:t xml:space="preserve">Veterinary student.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otherwise prohibited by law, a veterinary student may perform surgery or diagnosis under direct or immediate supervision and may perform any other task delegated by the supervising veterinarian under indirect supervision.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veterinary student may not prescribe any drug, medicine or biologic; administer rabies vaccine to dogs as described in Iowa Code section </w:t>
      </w:r>
      <w:hyperlink r:id="rId22">
        <w:r>
          <w:rPr>
            <w:rStyle w:val="Hyperlink"/>
            <w:rFonts w:ascii="Times New Roman" w:hAnsi="Times New Roman"/>
            <w:b w:val="false"/>
            <w:i w:val="false"/>
            <w:color w:val="000000"/>
            <w:sz w:val="22"/>
          </w:rPr>
          <w:t>351.35</w:t>
        </w:r>
      </w:hyperlink>
      <w:r>
        <w:rPr>
          <w:rFonts w:ascii="Times New Roman" w:hAnsi="Times New Roman"/>
          <w:b w:val="false"/>
          <w:i w:val="false"/>
          <w:color w:val="000000"/>
          <w:sz w:val="22"/>
        </w:rPr>
        <w:t xml:space="preserve">; sign a certificate of veterinary inspection as described in Iowa Code section </w:t>
      </w:r>
      <w:hyperlink r:id="rId23">
        <w:r>
          <w:rPr>
            <w:rStyle w:val="Hyperlink"/>
            <w:rFonts w:ascii="Times New Roman" w:hAnsi="Times New Roman"/>
            <w:b w:val="false"/>
            <w:i w:val="false"/>
            <w:color w:val="000000"/>
            <w:sz w:val="22"/>
          </w:rPr>
          <w:t>163.12</w:t>
        </w:r>
      </w:hyperlink>
      <w:r>
        <w:rPr>
          <w:rFonts w:ascii="Times New Roman" w:hAnsi="Times New Roman"/>
          <w:b w:val="false"/>
          <w:i w:val="false"/>
          <w:color w:val="000000"/>
          <w:sz w:val="22"/>
        </w:rPr>
        <w:t>; perform any task requiring USDA accreditation; or perform any task otherwise prohibited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8.7(6)</w:t>
      </w:r>
      <w:r>
        <w:rPr>
          <w:rFonts w:ascii="Times New Roman" w:hAnsi="Times New Roman"/>
          <w:b w:val="false"/>
          <w:i w:val="false"/>
          <w:color w:val="000000"/>
          <w:sz w:val="22"/>
        </w:rPr>
        <w:t> </w:t>
      </w:r>
      <w:r>
        <w:rPr>
          <w:rFonts w:ascii="Times New Roman" w:hAnsi="Times New Roman"/>
          <w:b w:val="false"/>
          <w:i/>
          <w:color w:val="000000"/>
          <w:sz w:val="22"/>
        </w:rPr>
        <w:t xml:space="preserve">Foreign graduate.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Unless otherwise prohibited by law, a graduate of a foreign college of veterinary medicine or a person who has received an Educational Commission for Foreign Veterinary Graduates (ECFVG) or PAVE certificate, either of whom is not a licensed veterinarian, may perform surgery or diagnosis under direct or immediate supervision and may perform any other task delegated by the supervising veterinarian under indirect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graduate of a foreign college of veterinary medicine or a person who has received an ECFVG or PAVE certificate, either of whom is not a licensed veterinarian, may not prescribe any drug, medicine or biologic; administer rabies vaccine to dogs as described in Iowa Code section </w:t>
      </w:r>
      <w:hyperlink r:id="rId24">
        <w:r>
          <w:rPr>
            <w:rStyle w:val="Hyperlink"/>
            <w:rFonts w:ascii="Times New Roman" w:hAnsi="Times New Roman"/>
            <w:b w:val="false"/>
            <w:i w:val="false"/>
            <w:color w:val="000000"/>
            <w:sz w:val="22"/>
          </w:rPr>
          <w:t>351.35</w:t>
        </w:r>
      </w:hyperlink>
      <w:r>
        <w:rPr>
          <w:rFonts w:ascii="Times New Roman" w:hAnsi="Times New Roman"/>
          <w:b w:val="false"/>
          <w:i w:val="false"/>
          <w:color w:val="000000"/>
          <w:sz w:val="22"/>
        </w:rPr>
        <w:t xml:space="preserve">; sign a certificate of veterinary inspection as described in Iowa Code section </w:t>
      </w:r>
      <w:hyperlink r:id="rId25">
        <w:r>
          <w:rPr>
            <w:rStyle w:val="Hyperlink"/>
            <w:rFonts w:ascii="Times New Roman" w:hAnsi="Times New Roman"/>
            <w:b w:val="false"/>
            <w:i w:val="false"/>
            <w:color w:val="000000"/>
            <w:sz w:val="22"/>
          </w:rPr>
          <w:t>163.12</w:t>
        </w:r>
      </w:hyperlink>
      <w:r>
        <w:rPr>
          <w:rFonts w:ascii="Times New Roman" w:hAnsi="Times New Roman"/>
          <w:b w:val="false"/>
          <w:i w:val="false"/>
          <w:color w:val="000000"/>
          <w:sz w:val="22"/>
        </w:rPr>
        <w:t>; perform any task requiring USDA accreditation; or perform any task otherwise prohibited by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8017C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811—8.8</w:t>
      </w:r>
      <w:r>
        <w:rPr>
          <w:rFonts w:ascii="Times New Roman" w:hAnsi="Times New Roman"/>
          <w:b/>
          <w:i w:val="false"/>
          <w:color w:val="000000"/>
          <w:sz w:val="22"/>
        </w:rPr>
        <w:t xml:space="preserve">(169,272C) </w:t>
      </w:r>
      <w:r>
        <w:rPr>
          <w:rFonts w:ascii="Times New Roman" w:hAnsi="Times New Roman"/>
          <w:b/>
          <w:i w:val="false"/>
          <w:color w:val="000000"/>
          <w:sz w:val="22"/>
        </w:rPr>
        <w:t xml:space="preserve">Continuing education.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8.8(1)</w:t>
      </w:r>
      <w:r>
        <w:rPr>
          <w:rFonts w:ascii="Times New Roman" w:hAnsi="Times New Roman"/>
          <w:b w:val="false"/>
          <w:i w:val="false"/>
          <w:color w:val="000000"/>
          <w:sz w:val="22"/>
        </w:rPr>
        <w:t> </w:t>
      </w:r>
      <w:r>
        <w:rPr>
          <w:rFonts w:ascii="Times New Roman" w:hAnsi="Times New Roman"/>
          <w:b w:val="false"/>
          <w:i w:val="false"/>
          <w:color w:val="000000"/>
          <w:sz w:val="22"/>
        </w:rPr>
        <w:t>In order to renew a certificate of registration, each credentialed veterinary technician completes, triennially, at least 30 hours of continuing education in courses approved by the board. The credentialed veterinary technician has the responsibility for financing continuing education. These credit hours may be obtained by attending approved scientific seminars and meetings on the basis of one credit hour for each hour of attendance. Attendance at any board-approved national, state or regional meeting will be acceptable. Credit for qualified graduate college courses may be approved on the basis of multiplying each college credit hour by 10, to a maximum of 15 hours during any one triennial. A maximum of 15 hours during any one triennial may be achieved by the completion of approved distance education courses. A maximum of ten hours of continuing education during any one triennial license period may be achieved by completion of approved practice management courses.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8.8(2)</w:t>
      </w:r>
      <w:r>
        <w:rPr>
          <w:rFonts w:ascii="Times New Roman" w:hAnsi="Times New Roman"/>
          <w:b w:val="false"/>
          <w:i w:val="false"/>
          <w:color w:val="000000"/>
          <w:sz w:val="22"/>
        </w:rPr>
        <w:t> </w:t>
      </w:r>
      <w:r>
        <w:rPr>
          <w:rFonts w:ascii="Times New Roman" w:hAnsi="Times New Roman"/>
          <w:b w:val="false"/>
          <w:i w:val="false"/>
          <w:color w:val="000000"/>
          <w:sz w:val="22"/>
        </w:rPr>
        <w:t>Each credentialed veterinary technician obtains the 30 credit hours between January 1 of the first year of the triennium and December 31 of third year of the triennium. Continuing education credits in excess of 30 hours for the triennium may be carried over to the next triennial period, but the total number of credits carried over cannot exceed 10 hours.</w:t>
      </w:r>
    </w:p>
    <w:p>
      <w:pPr>
        <w:spacing w:before="0" w:after="0"/>
        <w:ind w:left="120"/>
        <w:jc w:val="both"/>
      </w:pPr>
      <w:r>
        <w:rPr>
          <w:rFonts w:ascii="Times New Roman" w:hAnsi="Times New Roman"/>
          <w:b w:val="false"/>
          <w:i w:val="false"/>
          <w:color w:val="000000"/>
          <w:sz w:val="22"/>
        </w:rPr>
        <w:t>If a recent graduate is credentialed during the first year of the triennium, the person will complete 20 hours of continuing education for the first certificate of registration renewal. If a recent graduate is credentialed during the second year of the triennium, the person will complete ten hours of continuing education for the first certificate of registration renewal. If a recent graduate is credentialed during the third year of the triennium, the person is exempt from meeting continuing education requirements for the first certificate of registration renewal. For the purpose of this rule, “recent graduate” means a person who has graduated from an accredited or approved veterinary technology program no more than three years prior to application for certification of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8.8(3)</w:t>
      </w:r>
      <w:r>
        <w:rPr>
          <w:rFonts w:ascii="Times New Roman" w:hAnsi="Times New Roman"/>
          <w:b w:val="false"/>
          <w:i w:val="false"/>
          <w:color w:val="000000"/>
          <w:sz w:val="22"/>
        </w:rPr>
        <w:t> </w:t>
      </w:r>
      <w:r>
        <w:rPr>
          <w:rFonts w:ascii="Times New Roman" w:hAnsi="Times New Roman"/>
          <w:b w:val="false"/>
          <w:i w:val="false"/>
          <w:color w:val="000000"/>
          <w:sz w:val="22"/>
        </w:rPr>
        <w:t>Completion of the continuing education will be reported to the secretary of the board of veterinary medicine on forms provided by the board by December 31 of the third year of the triennium.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8.8(4)</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request, the board may waive continuing education requirements for qualifying military service personnel or spouse as defined in </w:t>
      </w:r>
      <w:hyperlink r:id="rId26">
        <w:r>
          <w:rPr>
            <w:rStyle w:val="Hyperlink"/>
            <w:rFonts w:ascii="Times New Roman" w:hAnsi="Times New Roman"/>
            <w:b w:val="false"/>
            <w:i w:val="false"/>
            <w:color w:val="000000"/>
            <w:sz w:val="22"/>
          </w:rPr>
          <w:t>811—Chapter 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8017C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27">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w:t>
      </w:r>
      <w:hyperlink r:id="rId28">
        <w:r>
          <w:rPr>
            <w:rStyle w:val="Hyperlink"/>
            <w:rFonts w:ascii="Times New Roman" w:hAnsi="Times New Roman"/>
            <w:b w:val="false"/>
            <w:i w:val="false"/>
            <w:color w:val="000000"/>
            <w:sz w:val="22"/>
          </w:rPr>
          <w:t>169.4</w:t>
        </w:r>
      </w:hyperlink>
      <w:r>
        <w:rPr>
          <w:rFonts w:ascii="Times New Roman" w:hAnsi="Times New Roman"/>
          <w:b w:val="false"/>
          <w:i w:val="false"/>
          <w:color w:val="000000"/>
          <w:sz w:val="22"/>
        </w:rPr>
        <w:t xml:space="preserve">, </w:t>
      </w:r>
      <w:hyperlink r:id="rId29">
        <w:r>
          <w:rPr>
            <w:rStyle w:val="Hyperlink"/>
            <w:rFonts w:ascii="Times New Roman" w:hAnsi="Times New Roman"/>
            <w:b w:val="false"/>
            <w:i w:val="false"/>
            <w:color w:val="000000"/>
            <w:sz w:val="22"/>
          </w:rPr>
          <w:t>169.5</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169.9</w:t>
        </w:r>
      </w:hyperlink>
      <w:r>
        <w:rPr>
          <w:rFonts w:ascii="Times New Roman" w:hAnsi="Times New Roman"/>
          <w:b w:val="false"/>
          <w:i w:val="false"/>
          <w:color w:val="000000"/>
          <w:sz w:val="22"/>
        </w:rPr>
        <w:t xml:space="preserve">, </w:t>
      </w:r>
      <w:hyperlink r:id="rId31">
        <w:r>
          <w:rPr>
            <w:rStyle w:val="Hyperlink"/>
            <w:rFonts w:ascii="Times New Roman" w:hAnsi="Times New Roman"/>
            <w:b w:val="false"/>
            <w:i w:val="false"/>
            <w:color w:val="000000"/>
            <w:sz w:val="22"/>
          </w:rPr>
          <w:t>169.12,</w:t>
        </w:r>
      </w:hyperlink>
      <w:r>
        <w:rPr>
          <w:rFonts w:ascii="Times New Roman" w:hAnsi="Times New Roman"/>
          <w:b w:val="false"/>
          <w:i w:val="false"/>
          <w:color w:val="000000"/>
          <w:sz w:val="22"/>
        </w:rPr>
        <w:t> </w:t>
      </w:r>
      <w:hyperlink r:id="rId32">
        <w:r>
          <w:rPr>
            <w:rStyle w:val="Hyperlink"/>
            <w:rFonts w:ascii="Times New Roman" w:hAnsi="Times New Roman"/>
            <w:b w:val="false"/>
            <w:i w:val="false"/>
            <w:color w:val="000000"/>
            <w:sz w:val="22"/>
          </w:rPr>
          <w:t>169.20</w:t>
        </w:r>
      </w:hyperlink>
      <w:r>
        <w:rPr>
          <w:rFonts w:ascii="Times New Roman" w:hAnsi="Times New Roman"/>
          <w:b w:val="false"/>
          <w:i w:val="false"/>
          <w:color w:val="000000"/>
          <w:sz w:val="22"/>
        </w:rPr>
        <w:t xml:space="preserve"> and </w:t>
      </w:r>
      <w:hyperlink r:id="rId33">
        <w:r>
          <w:rPr>
            <w:rStyle w:val="Hyperlink"/>
            <w:rFonts w:ascii="Times New Roman" w:hAnsi="Times New Roman"/>
            <w:b w:val="false"/>
            <w:i w:val="false"/>
            <w:color w:val="000000"/>
            <w:sz w:val="22"/>
          </w:rPr>
          <w:t>272C.4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3/22/78, Notice 9/21/77—published 3/22/78, effective 4/26/78]</w:t>
      </w:r>
    </w:p>
    <w:p>
      <w:pPr>
        <w:spacing w:before="0" w:after="0"/>
        <w:ind w:left="120"/>
        <w:jc w:val="center"/>
      </w:pPr>
      <w:r>
        <w:rPr>
          <w:rFonts w:ascii="Times New Roman" w:hAnsi="Times New Roman"/>
          <w:b w:val="false"/>
          <w:i w:val="false"/>
          <w:color w:val="000000"/>
          <w:sz w:val="21"/>
        </w:rPr>
        <w:t>[Filed emergency 9/29/78—published 10/18/78, effective 9/29/78]</w:t>
      </w:r>
    </w:p>
    <w:p>
      <w:pPr>
        <w:spacing w:before="0" w:after="0"/>
        <w:ind w:left="120"/>
        <w:jc w:val="center"/>
      </w:pPr>
      <w:r>
        <w:rPr>
          <w:rFonts w:ascii="Times New Roman" w:hAnsi="Times New Roman"/>
          <w:b w:val="false"/>
          <w:i w:val="false"/>
          <w:color w:val="000000"/>
          <w:sz w:val="21"/>
        </w:rPr>
        <w:t>[Filed 7/1/80, Notice 10/31/79—published 7/23/80, effective 8/27/80]</w:t>
      </w:r>
    </w:p>
    <w:p>
      <w:pPr>
        <w:spacing w:before="0" w:after="0"/>
        <w:ind w:left="120"/>
        <w:jc w:val="center"/>
      </w:pPr>
      <w:r>
        <w:rPr>
          <w:rFonts w:ascii="Times New Roman" w:hAnsi="Times New Roman"/>
          <w:b w:val="false"/>
          <w:i w:val="false"/>
          <w:color w:val="000000"/>
          <w:sz w:val="21"/>
        </w:rPr>
        <w:t>[Filed 4/10/81, Notice 3/4/81—published 4/29/81, effective 6/3/81]</w:t>
      </w:r>
    </w:p>
    <w:p>
      <w:pPr>
        <w:spacing w:before="0" w:after="0"/>
        <w:ind w:left="120"/>
        <w:jc w:val="center"/>
      </w:pPr>
      <w:r>
        <w:rPr>
          <w:rFonts w:ascii="Times New Roman" w:hAnsi="Times New Roman"/>
          <w:b w:val="false"/>
          <w:i w:val="false"/>
          <w:color w:val="000000"/>
          <w:sz w:val="21"/>
        </w:rPr>
        <w:t>[Filed 12/2/83, Notice 10/26/83—published 12/21/83, effective 1/26/84]</w:t>
      </w:r>
    </w:p>
    <w:p>
      <w:pPr>
        <w:spacing w:before="0" w:after="0"/>
        <w:ind w:left="120"/>
        <w:jc w:val="center"/>
      </w:pPr>
      <w:r>
        <w:rPr>
          <w:rFonts w:ascii="Times New Roman" w:hAnsi="Times New Roman"/>
          <w:b w:val="false"/>
          <w:i w:val="false"/>
          <w:color w:val="000000"/>
          <w:sz w:val="21"/>
        </w:rPr>
        <w:t>[Filed 11/13/87, Notice 10/7/87—published 12/2/87, effective 1/6/88]</w:t>
      </w:r>
    </w:p>
    <w:p>
      <w:pPr>
        <w:spacing w:before="0" w:after="0"/>
        <w:ind w:left="120"/>
        <w:jc w:val="center"/>
      </w:pPr>
      <w:r>
        <w:rPr>
          <w:rFonts w:ascii="Times New Roman" w:hAnsi="Times New Roman"/>
          <w:b w:val="false"/>
          <w:i w:val="false"/>
          <w:color w:val="000000"/>
          <w:sz w:val="21"/>
        </w:rPr>
        <w:t>[Filed 1/20/89, Notice 11/16/88—published 2/8/89, effective 3/15/89]</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1/30/92, Notice 9/18/91—published 2/19/92, effective 3/25/92]</w:t>
      </w:r>
    </w:p>
    <w:p>
      <w:pPr>
        <w:spacing w:before="0" w:after="0"/>
        <w:ind w:left="120"/>
        <w:jc w:val="center"/>
      </w:pPr>
      <w:r>
        <w:rPr>
          <w:rFonts w:ascii="Times New Roman" w:hAnsi="Times New Roman"/>
          <w:b w:val="false"/>
          <w:i w:val="false"/>
          <w:color w:val="000000"/>
          <w:sz w:val="21"/>
        </w:rPr>
        <w:t>[Filed 10/6/94, Notice 7/6/94—published 10/26/94, effective 11/30/94]</w:t>
      </w:r>
    </w:p>
    <w:p>
      <w:pPr>
        <w:spacing w:before="0" w:after="0"/>
        <w:ind w:left="120"/>
        <w:jc w:val="center"/>
      </w:pPr>
      <w:r>
        <w:rPr>
          <w:rFonts w:ascii="Times New Roman" w:hAnsi="Times New Roman"/>
          <w:b w:val="false"/>
          <w:i w:val="false"/>
          <w:color w:val="000000"/>
          <w:sz w:val="21"/>
        </w:rPr>
        <w:t>[Filed ARC 1984C</w:t>
      </w:r>
      <w:r>
        <w:rPr>
          <w:rFonts w:ascii="Times New Roman" w:hAnsi="Times New Roman"/>
          <w:b w:val="false"/>
          <w:i w:val="false"/>
          <w:color w:val="000000"/>
          <w:sz w:val="21"/>
        </w:rPr>
        <w:t xml:space="preserve"> (Notice ARC 1756C, IAB 12/10/14)</w:t>
      </w:r>
      <w:r>
        <w:rPr>
          <w:rFonts w:ascii="Times New Roman" w:hAnsi="Times New Roman"/>
          <w:b w:val="false"/>
          <w:i w:val="false"/>
          <w:color w:val="000000"/>
          <w:sz w:val="21"/>
        </w:rPr>
        <w:t>, IAB 4/29/15, effective 6/3/15]</w:t>
      </w:r>
    </w:p>
    <w:p>
      <w:pPr>
        <w:spacing w:before="0" w:after="0"/>
        <w:ind w:left="120"/>
        <w:jc w:val="center"/>
      </w:pPr>
      <w:r>
        <w:rPr>
          <w:rFonts w:ascii="Times New Roman" w:hAnsi="Times New Roman"/>
          <w:b w:val="false"/>
          <w:i w:val="false"/>
          <w:color w:val="000000"/>
          <w:sz w:val="21"/>
        </w:rPr>
        <w:t>[Filed ARC 3696C</w:t>
      </w:r>
      <w:r>
        <w:rPr>
          <w:rFonts w:ascii="Times New Roman" w:hAnsi="Times New Roman"/>
          <w:b w:val="false"/>
          <w:i w:val="false"/>
          <w:color w:val="000000"/>
          <w:sz w:val="21"/>
        </w:rPr>
        <w:t xml:space="preserve"> (Notice ARC 3563C, IAB 1/17/18)</w:t>
      </w:r>
      <w:r>
        <w:rPr>
          <w:rFonts w:ascii="Times New Roman" w:hAnsi="Times New Roman"/>
          <w:b w:val="false"/>
          <w:i w:val="false"/>
          <w:color w:val="000000"/>
          <w:sz w:val="21"/>
        </w:rPr>
        <w:t>, IAB 3/14/18, effective 4/18/18]</w:t>
      </w:r>
    </w:p>
    <w:p>
      <w:pPr>
        <w:spacing w:before="0" w:after="0"/>
        <w:ind w:left="120"/>
        <w:jc w:val="center"/>
      </w:pPr>
      <w:r>
        <w:rPr>
          <w:rFonts w:ascii="Times New Roman" w:hAnsi="Times New Roman"/>
          <w:b w:val="false"/>
          <w:i w:val="false"/>
          <w:color w:val="000000"/>
          <w:sz w:val="21"/>
        </w:rPr>
        <w:t>[Filed ARC 3960C</w:t>
      </w:r>
      <w:r>
        <w:rPr>
          <w:rFonts w:ascii="Times New Roman" w:hAnsi="Times New Roman"/>
          <w:b w:val="false"/>
          <w:i w:val="false"/>
          <w:color w:val="000000"/>
          <w:sz w:val="21"/>
        </w:rPr>
        <w:t xml:space="preserve"> (Notice ARC 3821C, IAB 6/6/18)</w:t>
      </w:r>
      <w:r>
        <w:rPr>
          <w:rFonts w:ascii="Times New Roman" w:hAnsi="Times New Roman"/>
          <w:b w:val="false"/>
          <w:i w:val="false"/>
          <w:color w:val="000000"/>
          <w:sz w:val="21"/>
        </w:rPr>
        <w:t>, IAB 8/15/18, effective 9/19/18]</w:t>
      </w:r>
    </w:p>
    <w:p>
      <w:pPr>
        <w:spacing w:before="0" w:after="0"/>
        <w:ind w:left="120"/>
        <w:jc w:val="center"/>
      </w:pPr>
      <w:r>
        <w:rPr>
          <w:rFonts w:ascii="Times New Roman" w:hAnsi="Times New Roman"/>
          <w:b w:val="false"/>
          <w:i w:val="false"/>
          <w:color w:val="000000"/>
          <w:sz w:val="21"/>
        </w:rPr>
        <w:t>[Filed ARC 5639C</w:t>
      </w:r>
      <w:r>
        <w:rPr>
          <w:rFonts w:ascii="Times New Roman" w:hAnsi="Times New Roman"/>
          <w:b w:val="false"/>
          <w:i w:val="false"/>
          <w:color w:val="000000"/>
          <w:sz w:val="21"/>
        </w:rPr>
        <w:t xml:space="preserve"> (Notice ARC 5432C, IAB 2/10/21)</w:t>
      </w:r>
      <w:r>
        <w:rPr>
          <w:rFonts w:ascii="Times New Roman" w:hAnsi="Times New Roman"/>
          <w:b w:val="false"/>
          <w:i w:val="false"/>
          <w:color w:val="000000"/>
          <w:sz w:val="21"/>
        </w:rPr>
        <w:t>, IAB 6/2/21, effective 7/7/21]</w:t>
      </w:r>
    </w:p>
    <w:p>
      <w:pPr>
        <w:spacing w:before="0" w:after="0"/>
        <w:ind w:left="120"/>
        <w:jc w:val="center"/>
      </w:pPr>
      <w:r>
        <w:rPr>
          <w:rFonts w:ascii="Times New Roman" w:hAnsi="Times New Roman"/>
          <w:b w:val="false"/>
          <w:i w:val="false"/>
          <w:color w:val="000000"/>
          <w:sz w:val="21"/>
        </w:rPr>
        <w:t>[Filed ARC 5726C</w:t>
      </w:r>
      <w:r>
        <w:rPr>
          <w:rFonts w:ascii="Times New Roman" w:hAnsi="Times New Roman"/>
          <w:b w:val="false"/>
          <w:i w:val="false"/>
          <w:color w:val="000000"/>
          <w:sz w:val="21"/>
        </w:rPr>
        <w:t xml:space="preserve"> (Notice ARC 5433C, IAB 2/10/21)</w:t>
      </w:r>
      <w:r>
        <w:rPr>
          <w:rFonts w:ascii="Times New Roman" w:hAnsi="Times New Roman"/>
          <w:b w:val="false"/>
          <w:i w:val="false"/>
          <w:color w:val="000000"/>
          <w:sz w:val="21"/>
        </w:rPr>
        <w:t>, IAB 6/30/21, effective 8/9/21]</w:t>
      </w:r>
    </w:p>
    <w:p>
      <w:pPr>
        <w:spacing w:before="0" w:after="0"/>
        <w:ind w:left="120"/>
        <w:jc w:val="center"/>
      </w:pPr>
      <w:r>
        <w:rPr>
          <w:rFonts w:ascii="Times New Roman" w:hAnsi="Times New Roman"/>
          <w:b w:val="false"/>
          <w:i w:val="false"/>
          <w:color w:val="000000"/>
          <w:sz w:val="21"/>
        </w:rPr>
        <w:t>[Filed ARC 7077C</w:t>
      </w:r>
      <w:r>
        <w:rPr>
          <w:rFonts w:ascii="Times New Roman" w:hAnsi="Times New Roman"/>
          <w:b w:val="false"/>
          <w:i w:val="false"/>
          <w:color w:val="000000"/>
          <w:sz w:val="21"/>
        </w:rPr>
        <w:t xml:space="preserve"> (Notice ARC 7031C, IAB 5/31/23)</w:t>
      </w:r>
      <w:r>
        <w:rPr>
          <w:rFonts w:ascii="Times New Roman" w:hAnsi="Times New Roman"/>
          <w:b w:val="false"/>
          <w:i w:val="false"/>
          <w:color w:val="000000"/>
          <w:sz w:val="21"/>
        </w:rPr>
        <w:t>, IAB 10/4/23, effective 11/8/23]</w:t>
      </w:r>
    </w:p>
    <w:p>
      <w:pPr>
        <w:spacing w:before="0" w:after="0"/>
        <w:ind w:left="120"/>
        <w:jc w:val="center"/>
      </w:pPr>
      <w:r>
        <w:rPr>
          <w:rFonts w:ascii="Times New Roman" w:hAnsi="Times New Roman"/>
          <w:b w:val="false"/>
          <w:i w:val="false"/>
          <w:color w:val="000000"/>
          <w:sz w:val="21"/>
        </w:rPr>
        <w:t>[Filed ARC 8017C</w:t>
      </w:r>
      <w:r>
        <w:rPr>
          <w:rFonts w:ascii="Times New Roman" w:hAnsi="Times New Roman"/>
          <w:b w:val="false"/>
          <w:i w:val="false"/>
          <w:color w:val="000000"/>
          <w:sz w:val="21"/>
        </w:rPr>
        <w:t xml:space="preserve"> (Notice ARC 7563C, IAB 1/24/24)</w:t>
      </w:r>
      <w:r>
        <w:rPr>
          <w:rFonts w:ascii="Times New Roman" w:hAnsi="Times New Roman"/>
          <w:b w:val="false"/>
          <w:i w:val="false"/>
          <w:color w:val="000000"/>
          <w:sz w:val="21"/>
        </w:rPr>
        <w:t>, IAB 5/15/24, effective 7/1/24]</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69.34.pdf" Type="http://schemas.openxmlformats.org/officeDocument/2006/relationships/hyperlink" Id="rId5"/>
    <Relationship TargetMode="External" Target="https://www.legis.iowa.gov/docs/iac/rule/811.8.3.pdf" Type="http://schemas.openxmlformats.org/officeDocument/2006/relationships/hyperlink" Id="rId6"/>
    <Relationship TargetMode="External" Target="https://www.legis.iowa.gov/docs/ico/chapter/272C.12.pdf" Type="http://schemas.openxmlformats.org/officeDocument/2006/relationships/hyperlink" Id="rId7"/>
    <Relationship TargetMode="External" Target="https://www.legis.iowa.gov/docs/ico/chapter/272C.12.pdf" Type="http://schemas.openxmlformats.org/officeDocument/2006/relationships/hyperlink" Id="rId8"/>
    <Relationship TargetMode="External" Target="https://www.legis.iowa.gov/docs/ico/chapter/169.34.pdf" Type="http://schemas.openxmlformats.org/officeDocument/2006/relationships/hyperlink" Id="rId9"/>
    <Relationship TargetMode="External" Target="https://www.legis.iowa.gov/docs/ico/chapter/272C.12.pdf" Type="http://schemas.openxmlformats.org/officeDocument/2006/relationships/hyperlink" Id="rId10"/>
    <Relationship TargetMode="External" Target="https://www.legis.iowa.gov/docs/ico/chapter/272C.13.pdf" Type="http://schemas.openxmlformats.org/officeDocument/2006/relationships/hyperlink" Id="rId11"/>
    <Relationship TargetMode="External" Target="https://www.legis.iowa.gov/docs/ico/chapter/169.34.pdf" Type="http://schemas.openxmlformats.org/officeDocument/2006/relationships/hyperlink" Id="rId12"/>
    <Relationship TargetMode="External" Target="https://www.legis.iowa.gov/docs/ico/chapter/169.34.pdf" Type="http://schemas.openxmlformats.org/officeDocument/2006/relationships/hyperlink" Id="rId13"/>
    <Relationship TargetMode="External" Target="https://www.legis.iowa.gov/docs/ico/chapter/351.33.pdf" Type="http://schemas.openxmlformats.org/officeDocument/2006/relationships/hyperlink" Id="rId14"/>
    <Relationship TargetMode="External" Target="https://www.legis.iowa.gov/docs/ico/chapter/351.33.pdf" Type="http://schemas.openxmlformats.org/officeDocument/2006/relationships/hyperlink" Id="rId15"/>
    <Relationship TargetMode="External" Target="https://www.legis.iowa.gov/docs/ico/chapter/169.32.pdf" Type="http://schemas.openxmlformats.org/officeDocument/2006/relationships/hyperlink" Id="rId16"/>
    <Relationship TargetMode="External" Target="https://www.legis.iowa.gov/docs/iac/rule/811.8.7.pdf" Type="http://schemas.openxmlformats.org/officeDocument/2006/relationships/hyperlink" Id="rId17"/>
    <Relationship TargetMode="External" Target="https://www.legis.iowa.gov/docs/iac/rule/811.8.7.pdf" Type="http://schemas.openxmlformats.org/officeDocument/2006/relationships/hyperlink" Id="rId18"/>
    <Relationship TargetMode="External" Target="https://www.legis.iowa.gov/docs/iac/rule/811.8.7.pdf" Type="http://schemas.openxmlformats.org/officeDocument/2006/relationships/hyperlink" Id="rId19"/>
    <Relationship TargetMode="External" Target="https://www.legis.iowa.gov/docs/ico/chapter/717.1.pdf" Type="http://schemas.openxmlformats.org/officeDocument/2006/relationships/hyperlink" Id="rId20"/>
    <Relationship TargetMode="External" Target="https://www.legis.iowa.gov/docs/ico/chapter/717.1.pdf" Type="http://schemas.openxmlformats.org/officeDocument/2006/relationships/hyperlink" Id="rId21"/>
    <Relationship TargetMode="External" Target="https://www.legis.iowa.gov/docs/ico/chapter/351.35.pdf" Type="http://schemas.openxmlformats.org/officeDocument/2006/relationships/hyperlink" Id="rId22"/>
    <Relationship TargetMode="External" Target="https://www.legis.iowa.gov/docs/ico/chapter/163.12.pdf" Type="http://schemas.openxmlformats.org/officeDocument/2006/relationships/hyperlink" Id="rId23"/>
    <Relationship TargetMode="External" Target="https://www.legis.iowa.gov/docs/ico/chapter/351.35.pdf" Type="http://schemas.openxmlformats.org/officeDocument/2006/relationships/hyperlink" Id="rId24"/>
    <Relationship TargetMode="External" Target="https://www.legis.iowa.gov/docs/ico/chapter/163.12.pdf" Type="http://schemas.openxmlformats.org/officeDocument/2006/relationships/hyperlink" Id="rId25"/>
    <Relationship TargetMode="External" Target="https://www.legis.iowa.gov/docs/iac/chapter/811.15.pdf" Type="http://schemas.openxmlformats.org/officeDocument/2006/relationships/hyperlink" Id="rId26"/>
    <Relationship TargetMode="External" Target="https://www.legis.iowa.gov/docs/ico/chapter/17A.3.pdf" Type="http://schemas.openxmlformats.org/officeDocument/2006/relationships/hyperlink" Id="rId27"/>
    <Relationship TargetMode="External" Target="https://www.legis.iowa.gov/docs/ico/chapter/169.4.pdf" Type="http://schemas.openxmlformats.org/officeDocument/2006/relationships/hyperlink" Id="rId28"/>
    <Relationship TargetMode="External" Target="https://www.legis.iowa.gov/docs/ico/chapter/169.5.pdf" Type="http://schemas.openxmlformats.org/officeDocument/2006/relationships/hyperlink" Id="rId29"/>
    <Relationship TargetMode="External" Target="https://www.legis.iowa.gov/docs/ico/chapter/169.9.pdf" Type="http://schemas.openxmlformats.org/officeDocument/2006/relationships/hyperlink" Id="rId30"/>
    <Relationship TargetMode="External" Target="https://www.legis.iowa.gov/docs/ico/chapter/169.12.pdf" Type="http://schemas.openxmlformats.org/officeDocument/2006/relationships/hyperlink" Id="rId31"/>
    <Relationship TargetMode="External" Target="https://www.legis.iowa.gov/docs/ico/chapter/169.20.pdf" Type="http://schemas.openxmlformats.org/officeDocument/2006/relationships/hyperlink" Id="rId32"/>
    <Relationship TargetMode="External" Target="https://www.legis.iowa.gov/docs/ico/chapter/272C.4.pdf" Type="http://schemas.openxmlformats.org/officeDocument/2006/relationships/hyperlink" Id="rId3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