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VETERINARY EXAMINATIONS</w:t>
      </w:r>
    </w:p>
    <w:p>
      <w:pPr>
        <w:spacing w:before="0" w:after="0"/>
        <w:ind w:left="120"/>
        <w:jc w:val="center"/>
      </w:pPr>
      <w:r>
        <w:rPr>
          <w:rFonts w:ascii="Times New Roman" w:hAnsi="Times New Roman"/>
          <w:b w:val="false"/>
          <w:i w:val="false"/>
          <w:color w:val="000000"/>
          <w:sz w:val="14"/>
        </w:rPr>
        <w:t>[Prior to 2/8/89, Veterinary Medicine, Board of[842]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811—7.1</w:t>
      </w:r>
      <w:r>
        <w:rPr>
          <w:rFonts w:ascii="Times New Roman" w:hAnsi="Times New Roman"/>
          <w:b/>
          <w:i w:val="false"/>
          <w:color w:val="000000"/>
          <w:sz w:val="22"/>
        </w:rPr>
        <w:t xml:space="preserve">(169) </w:t>
      </w:r>
      <w:r>
        <w:rPr>
          <w:rFonts w:ascii="Times New Roman" w:hAnsi="Times New Roman"/>
          <w:b/>
          <w:i w:val="false"/>
          <w:color w:val="000000"/>
          <w:sz w:val="22"/>
        </w:rPr>
        <w:t xml:space="preserve">Examination procedure. </w:t>
      </w:r>
      <w:r>
        <w:rPr>
          <w:rFonts w:ascii="Times New Roman" w:hAnsi="Times New Roman"/>
          <w:b w:val="false"/>
          <w:i w:val="false"/>
          <w:color w:val="000000"/>
          <w:sz w:val="22"/>
        </w:rPr>
        <w:t>In order to successfully complete the NAVLE, an applicant will achieve the minimum passing score as determined by the ICVA. The NAVLE is prepared by the ICVA for use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The dates for the examination are set by the ICVA. Examinations are held at a site to be determined by the ICVA.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Upon request, the ICVA will attempt to provide adequate individualized testing arrangements for applicants who establish the existence of a verified disability, including a verified learning disability, consistent with the provisions of the Americans with Disabilities Act of 1990 and regulations promulgated thereunder. Verification may be provided by a testing or evaluation agency approved by the ICVA or by a physician approved by the ICVA.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8016C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811—7.2</w:t>
      </w:r>
      <w:r>
        <w:rPr>
          <w:rFonts w:ascii="Times New Roman" w:hAnsi="Times New Roman"/>
          <w:b/>
          <w:i w:val="false"/>
          <w:color w:val="000000"/>
          <w:sz w:val="22"/>
        </w:rPr>
        <w:t xml:space="preserve">(169) </w:t>
      </w:r>
      <w:r>
        <w:rPr>
          <w:rFonts w:ascii="Times New Roman" w:hAnsi="Times New Roman"/>
          <w:b/>
          <w:i w:val="false"/>
          <w:color w:val="000000"/>
          <w:sz w:val="22"/>
        </w:rPr>
        <w:t xml:space="preserve">Conduct. </w:t>
      </w:r>
      <w:r>
        <w:rPr>
          <w:rFonts w:ascii="Times New Roman" w:hAnsi="Times New Roman"/>
          <w:b w:val="false"/>
          <w:i w:val="false"/>
          <w:color w:val="000000"/>
          <w:sz w:val="22"/>
        </w:rPr>
        <w:t>An examinee who violates any of the ICVA rules or instructions applicable to them may be declared by the board to have failed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The ability of an examinee to read and interpret instructions will be evaluated and considered by the board as part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Any examinee who gives or receives unauthorized assistance in any portion of the examination may be dismissed from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If the examinee fails the examination and desires to take a subsequent examination, the examinee will notify the board at least 60 days prior to the first day of the next examination, will certify that the material statements contained in the original applications are currently true and correct, will supplement that information as necessary, and will pay the requisite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8016C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4/10/81, Notice 3/4/81—published 4/29/81, effective 6/3/8]</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emergency 2/26/91—published 3/20/91, effective 3/1/91]</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10/6/94, Notice 7/6/94—published 10/26/94, effective 11/30/94]</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8016C</w:t>
      </w:r>
      <w:r>
        <w:rPr>
          <w:rFonts w:ascii="Times New Roman" w:hAnsi="Times New Roman"/>
          <w:b w:val="false"/>
          <w:i w:val="false"/>
          <w:color w:val="000000"/>
          <w:sz w:val="21"/>
        </w:rPr>
        <w:t xml:space="preserve"> (Notice ARC 7562C,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6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