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APPLICATION FOR VETERINARY LICENSURE</w:t>
      </w:r>
    </w:p>
    <w:p>
      <w:pPr>
        <w:spacing w:before="0" w:after="0"/>
        <w:ind w:left="120"/>
        <w:jc w:val="center"/>
      </w:pPr>
      <w:r>
        <w:rPr>
          <w:rFonts w:ascii="Times New Roman" w:hAnsi="Times New Roman"/>
          <w:b w:val="false"/>
          <w:i w:val="false"/>
          <w:color w:val="000000"/>
          <w:sz w:val="14"/>
        </w:rPr>
        <w:t>[Prior to 2/8/89, Veterinary Medicine, Board of[842] Ch 2]</w:t>
      </w:r>
    </w:p>
    <w:p>
      <w:pPr>
        <w:spacing w:before="0" w:after="0"/>
        <w:ind w:left="120"/>
        <w:jc w:val="center"/>
      </w:pPr>
      <w:r>
        <w:rPr>
          <w:rFonts w:ascii="Times New Roman" w:hAnsi="Times New Roman"/>
          <w:b w:val="false"/>
          <w:i w:val="false"/>
          <w:color w:val="000000"/>
          <w:sz w:val="14"/>
        </w:rPr>
        <w:t>Chapter 6, Suspension or Revocation of License, rescinded IAC 2/8/89; see 811—Ch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811—6.1</w:t>
      </w:r>
      <w:r>
        <w:rPr>
          <w:rFonts w:ascii="Times New Roman" w:hAnsi="Times New Roman"/>
          <w:b/>
          <w:i w:val="false"/>
          <w:color w:val="000000"/>
          <w:sz w:val="22"/>
        </w:rPr>
        <w:t xml:space="preserve">(169) </w:t>
      </w:r>
      <w:r>
        <w:rPr>
          <w:rFonts w:ascii="Times New Roman" w:hAnsi="Times New Roman"/>
          <w:b/>
          <w:i w:val="false"/>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color w:val="000000"/>
          <w:sz w:val="22"/>
        </w:rPr>
        <w:t xml:space="preserve">Application to take examination. </w:t>
      </w:r>
      <w:r>
        <w:rPr>
          <w:rFonts w:ascii="Times New Roman" w:hAnsi="Times New Roman"/>
          <w:b w:val="false"/>
          <w:i w:val="false"/>
          <w:color w:val="000000"/>
          <w:sz w:val="22"/>
        </w:rPr>
        <w:t>Any person desiring to take the NAVLE in Iowa for a license to practice veterinary medicine applies to the board in accordance with the guidelines and timelines established by the ICVA. The applicant will submit proof of completing the application process with ICVA along with the administrative fee by sending the proof and fee to:</w:t>
      </w:r>
    </w:p>
    <w:p>
      <w:pPr>
        <w:spacing w:before="0" w:after="0"/>
        <w:ind w:left="120"/>
        <w:jc w:val="both"/>
      </w:pPr>
      <w:r>
        <w:rPr>
          <w:rFonts w:ascii="Times New Roman" w:hAnsi="Times New Roman"/>
          <w:b w:val="false"/>
          <w:i w:val="false"/>
          <w:color w:val="000000"/>
          <w:sz w:val="22"/>
        </w:rPr>
        <w:t>Iowa Board of Veterinary Medicine</w:t>
      </w:r>
    </w:p>
    <w:p>
      <w:pPr>
        <w:spacing w:before="0" w:after="0"/>
        <w:ind w:left="120"/>
        <w:jc w:val="both"/>
      </w:pPr>
      <w:r>
        <w:rPr>
          <w:rFonts w:ascii="Times New Roman" w:hAnsi="Times New Roman"/>
          <w:b w:val="false"/>
          <w:i w:val="false"/>
          <w:color w:val="000000"/>
          <w:sz w:val="22"/>
        </w:rPr>
        <w:t>Iowa Department of Agriculture and Land Stewardship</w:t>
      </w:r>
    </w:p>
    <w:p>
      <w:pPr>
        <w:spacing w:before="0" w:after="0"/>
        <w:ind w:left="120"/>
        <w:jc w:val="both"/>
      </w:pPr>
      <w:r>
        <w:rPr>
          <w:rFonts w:ascii="Times New Roman" w:hAnsi="Times New Roman"/>
          <w:b w:val="false"/>
          <w:i w:val="false"/>
          <w:color w:val="000000"/>
          <w:sz w:val="22"/>
        </w:rPr>
        <w:t>Wallace State Office Building</w:t>
      </w:r>
    </w:p>
    <w:p>
      <w:pPr>
        <w:spacing w:before="0" w:after="0"/>
        <w:ind w:left="120"/>
        <w:jc w:val="both"/>
      </w:pPr>
      <w:r>
        <w:rPr>
          <w:rFonts w:ascii="Times New Roman" w:hAnsi="Times New Roman"/>
          <w:b w:val="false"/>
          <w:i w:val="false"/>
          <w:color w:val="000000"/>
          <w:sz w:val="22"/>
        </w:rPr>
        <w:t>502 E. 9th Street</w:t>
      </w:r>
    </w:p>
    <w:p>
      <w:pPr>
        <w:spacing w:before="0" w:after="0"/>
        <w:ind w:left="120"/>
        <w:jc w:val="both"/>
      </w:pPr>
      <w:r>
        <w:rPr>
          <w:rFonts w:ascii="Times New Roman" w:hAnsi="Times New Roman"/>
          <w:b w:val="false"/>
          <w:i w:val="false"/>
          <w:color w:val="000000"/>
          <w:sz w:val="22"/>
        </w:rPr>
        <w:t>Des Moines, Iowa 50319-0053</w:t>
      </w:r>
    </w:p>
    <w:p>
      <w:pPr>
        <w:spacing w:before="0" w:after="0"/>
        <w:ind w:left="120"/>
        <w:jc w:val="both"/>
      </w:pPr>
      <w:r>
        <w:rPr>
          <w:rFonts w:ascii="Times New Roman" w:hAnsi="Times New Roman"/>
          <w:b w:val="false"/>
          <w:i w:val="false"/>
          <w:color w:val="000000"/>
          <w:sz w:val="22"/>
        </w:rPr>
        <w:t>Proof of NAVLE application is to be submitted on forms provided by the board in accordance with the guidelines and timelines established by the ICVA. The completed form is to be notarized and includes one current passport size and quality photograph of the applicant. Incomplete applications will be returned to the applicant along with the tendered fee and a written statement setting forth the reasons for such rejections.</w:t>
      </w:r>
    </w:p>
    <w:p>
      <w:pPr>
        <w:spacing w:before="0" w:after="0"/>
        <w:ind w:left="120"/>
        <w:jc w:val="both"/>
      </w:pPr>
      <w:r>
        <w:rPr>
          <w:rFonts w:ascii="Times New Roman" w:hAnsi="Times New Roman"/>
          <w:b w:val="false"/>
          <w:i w:val="false"/>
          <w:color w:val="000000"/>
          <w:sz w:val="22"/>
        </w:rPr>
        <w:t>A completed form is to be accompanied by satisfactory evidence of the applicant having graduated from an AVMA-accredited school of veterinary medicine or satisfactory evidence that the applicant is expected to graduate within six months of the date of the examination.</w:t>
      </w:r>
    </w:p>
    <w:p>
      <w:pPr>
        <w:spacing w:before="0" w:after="0"/>
        <w:ind w:left="120"/>
        <w:jc w:val="both"/>
      </w:pPr>
      <w:r>
        <w:rPr>
          <w:rFonts w:ascii="Times New Roman" w:hAnsi="Times New Roman"/>
          <w:b w:val="false"/>
          <w:i w:val="false"/>
          <w:color w:val="000000"/>
          <w:sz w:val="22"/>
        </w:rPr>
        <w:t>Applications to take the NAVLE will not be accepted from any person who has previously taken and passed that examination in any jurisdiction, except on case-by-case petition to the board for good cause shown or other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requirements. </w:t>
      </w:r>
      <w:r>
        <w:rPr>
          <w:rFonts w:ascii="Times New Roman" w:hAnsi="Times New Roman"/>
          <w:b w:val="false"/>
          <w:i w:val="false"/>
          <w:color w:val="000000"/>
          <w:sz w:val="22"/>
        </w:rPr>
        <w:t>Prior to the board’s issuance of a license, the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complete the NAVLE as provided in rule </w:t>
      </w:r>
      <w:hyperlink r:id="rId5">
        <w:r>
          <w:rPr>
            <w:rStyle w:val="Hyperlink"/>
            <w:rFonts w:ascii="Times New Roman" w:hAnsi="Times New Roman"/>
            <w:b w:val="false"/>
            <w:i w:val="false"/>
            <w:color w:val="000000"/>
            <w:sz w:val="22"/>
          </w:rPr>
          <w:t>811—7.1</w:t>
        </w:r>
      </w:hyperlink>
      <w:r>
        <w:rPr>
          <w:rFonts w:ascii="Times New Roman" w:hAnsi="Times New Roman"/>
          <w:b w:val="false"/>
          <w:i w:val="false"/>
          <w:color w:val="000000"/>
          <w:sz w:val="22"/>
        </w:rPr>
        <w:t>(169);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Remit the proper application fee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Graduate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AVMA-accredited school of veterinary medicine;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AVMA-listed school of veterinary medicine and have received a certificate from either ECFVG or PAVE;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a statement indicating all jurisdictions in which the applicant is or has ever been licensed to practice veterinary medicine and consent to release to the board license information from jurisdictions in which the applicant is or has ever been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information or consent to the release of information pertinent to the character and education of the applicant as the board may deem necessary in order to evaluate the applicant’s qualifications;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evidence of having completed at least 60 hours of approved continuing education within the last three licensing years. New graduates and applicants within one year after the date of graduation are exempt from continuing education requirements for initial licensing. Applicants who apply more than one year but less than two years after the date of graduation need to complete at least 20 hours of approved continuing education. Applicants who apply more than two years but less than three years after the date of graduation need to complete at least 40 hours of approved continuing education. As used in this paragraph, “date of graduation” also includes the date of PAVE or ECFVG certification.</w:t>
      </w:r>
    </w:p>
    <w:p>
      <w:pPr>
        <w:spacing w:before="0" w:after="0"/>
        <w:ind w:left="120"/>
        <w:jc w:val="both"/>
      </w:pPr>
      <w:r>
        <w:rPr>
          <w:rFonts w:ascii="Times New Roman" w:hAnsi="Times New Roman"/>
          <w:b w:val="false"/>
          <w:i w:val="false"/>
          <w:color w:val="000000"/>
          <w:sz w:val="22"/>
        </w:rPr>
        <w:t>A license issued during a triennium, upon the applicant’s completion of these requirements and payment of the prorated triennial license fee, is issued for the balance of the triennium. A license expires on June 30 of the third year of the triennium.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811—6.2</w:t>
      </w:r>
      <w:r>
        <w:rPr>
          <w:rFonts w:ascii="Times New Roman" w:hAnsi="Times New Roman"/>
          <w:b/>
          <w:i w:val="false"/>
          <w:color w:val="000000"/>
          <w:sz w:val="22"/>
        </w:rPr>
        <w:t xml:space="preserve">(169) </w:t>
      </w:r>
      <w:r>
        <w:rPr>
          <w:rFonts w:ascii="Times New Roman" w:hAnsi="Times New Roman"/>
          <w:b/>
          <w:i w:val="false"/>
          <w:color w:val="000000"/>
          <w:sz w:val="22"/>
        </w:rPr>
        <w:t xml:space="preserve">Fee schedule for veterinarians. </w:t>
      </w:r>
      <w:r>
        <w:rPr>
          <w:rFonts w:ascii="Times New Roman" w:hAnsi="Times New Roman"/>
          <w:b w:val="false"/>
          <w:i w:val="false"/>
          <w:color w:val="000000"/>
          <w:sz w:val="22"/>
        </w:rPr>
        <w:t>The following fees are collected by the board and will not be refunded except by board action in unusual instances such as documented illness of the applicant, death of the applicant, inability of the applicant to comply with the rules of the board, or withdrawal of an examination application provided withdrawal is received in writing 45 days prior to the examination date. However, the state fees may be waived for qualifying military service personnel upon request. Examination fees are not transferable from one examination to another.</w:t>
      </w:r>
    </w:p>
    <w:p>
      <w:pPr>
        <w:spacing w:before="0" w:after="0"/>
        <w:ind w:left="120"/>
        <w:jc w:val="both"/>
      </w:pPr>
      <w:r>
        <w:rPr>
          <w:rFonts w:ascii="Times New Roman" w:hAnsi="Times New Roman"/>
          <w:b w:val="false"/>
          <w:i w:val="false"/>
          <w:color w:val="000000"/>
          <w:sz w:val="22"/>
        </w:rPr>
        <w:t>The fee for the NAVLE, which is utilized by the board as a part of the licensure process, is the fee charged that year by ICVA, plus an administrative fee payable to the board.</w:t>
      </w:r>
    </w:p>
    <w:p>
      <w:pPr>
        <w:spacing w:before="0" w:after="0"/>
        <w:ind w:left="120"/>
        <w:jc w:val="both"/>
      </w:pPr>
      <w:r>
        <w:rPr>
          <w:rFonts w:ascii="Times New Roman" w:hAnsi="Times New Roman"/>
          <w:b w:val="false"/>
          <w:i w:val="false"/>
          <w:color w:val="000000"/>
          <w:sz w:val="22"/>
        </w:rPr>
        <w:t>Based on the board’s anticipated financial requirements, the following fees are hereby adopted:</w:t>
      </w:r>
    </w:p>
    <w:tbl>
      <w:tblPr>
        <w:tblW w:w="5000" w:type="pct"/>
        <w:tblCellSpacing w:w="0" w:type="auto"/>
        <w:tblBorders>
          <w:top w:val="none"/>
          <w:left w:val="none"/>
          <w:bottom w:val="none"/>
          <w:right w:val="none"/>
          <w:insideH w:val="none"/>
          <w:insideV w:val="none"/>
        </w:tblBorders>
        <w:tblLayout w:type="fixed"/>
      </w:tblPr>
      <w:tblGrid>
        <w:gridCol w:w="8858"/>
        <w:gridCol w:w="2332"/>
      </w:tblGrid>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License—application fee</w:t>
            </w:r>
            <w:r>
              <w:rPr>
                <w:rFonts w:ascii="Times New Roman" w:hAnsi="Times New Roman"/>
                <w:b w:val="false"/>
                <w:i w:val="false"/>
                <w:color w:val="000000"/>
                <w:sz w:val="16"/>
              </w:rPr>
              <w:t>$50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NAVLE examination fee</w:t>
            </w:r>
            <w:r>
              <w:rPr>
                <w:rFonts w:ascii="Times New Roman" w:hAnsi="Times New Roman"/>
                <w:b w:val="false"/>
                <w:i w:val="false"/>
                <w:color w:val="000000"/>
                <w:sz w:val="16"/>
              </w:rPr>
              <w:t>set by ICVA</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Board administrative fee for NAVLE</w:t>
            </w:r>
            <w:r>
              <w:rPr>
                <w:rFonts w:ascii="Times New Roman" w:hAnsi="Times New Roman"/>
                <w:b w:val="false"/>
                <w:i w:val="false"/>
                <w:color w:val="000000"/>
                <w:sz w:val="16"/>
              </w:rPr>
              <w:t>$25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Triennial license</w:t>
            </w:r>
            <w:r>
              <w:rPr>
                <w:rFonts w:ascii="Times New Roman" w:hAnsi="Times New Roman"/>
                <w:b w:val="false"/>
                <w:i w:val="false"/>
                <w:color w:val="000000"/>
                <w:sz w:val="16"/>
              </w:rPr>
              <w:t>$60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Late renewal penalty</w:t>
            </w:r>
            <w:r>
              <w:rPr>
                <w:rFonts w:ascii="Times New Roman" w:hAnsi="Times New Roman"/>
                <w:b w:val="false"/>
                <w:i w:val="false"/>
                <w:color w:val="000000"/>
                <w:sz w:val="16"/>
              </w:rPr>
              <w:t>$100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License by endorsement—application fee</w:t>
            </w:r>
            <w:r>
              <w:rPr>
                <w:rFonts w:ascii="Times New Roman" w:hAnsi="Times New Roman"/>
                <w:b w:val="false"/>
                <w:i w:val="false"/>
                <w:color w:val="000000"/>
                <w:sz w:val="16"/>
              </w:rPr>
              <w:t>$50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License by verification—application fee</w:t>
            </w:r>
            <w:r>
              <w:rPr>
                <w:rFonts w:ascii="Times New Roman" w:hAnsi="Times New Roman"/>
                <w:b w:val="false"/>
                <w:i w:val="false"/>
                <w:color w:val="000000"/>
                <w:sz w:val="16"/>
              </w:rPr>
              <w:t>$50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Reactivation fee for lapsed or inactive license</w:t>
            </w:r>
            <w:r>
              <w:rPr>
                <w:rFonts w:ascii="Times New Roman" w:hAnsi="Times New Roman"/>
                <w:b w:val="false"/>
                <w:i w:val="false"/>
                <w:color w:val="000000"/>
                <w:sz w:val="16"/>
              </w:rPr>
              <w:t>$100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Reinstatement fee</w:t>
            </w:r>
            <w:r>
              <w:rPr>
                <w:rFonts w:ascii="Times New Roman" w:hAnsi="Times New Roman"/>
                <w:b w:val="false"/>
                <w:i w:val="false"/>
                <w:color w:val="000000"/>
                <w:sz w:val="16"/>
              </w:rPr>
              <w:t>$100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Duplicate license</w:t>
            </w:r>
            <w:r>
              <w:rPr>
                <w:rFonts w:ascii="Times New Roman" w:hAnsi="Times New Roman"/>
                <w:b w:val="false"/>
                <w:i w:val="false"/>
                <w:color w:val="000000"/>
                <w:sz w:val="16"/>
              </w:rPr>
              <w:t>$15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Temporary permit</w:t>
            </w:r>
            <w:r>
              <w:rPr>
                <w:rFonts w:ascii="Times New Roman" w:hAnsi="Times New Roman"/>
                <w:b w:val="false"/>
                <w:i w:val="false"/>
                <w:color w:val="000000"/>
                <w:sz w:val="16"/>
              </w:rPr>
              <w:t>$35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Temporary permit application fee</w:t>
            </w:r>
            <w:r>
              <w:rPr>
                <w:rFonts w:ascii="Times New Roman" w:hAnsi="Times New Roman"/>
                <w:b w:val="false"/>
                <w:i w:val="false"/>
                <w:color w:val="000000"/>
                <w:sz w:val="16"/>
              </w:rPr>
              <w:t>$15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Official licensure verification</w:t>
            </w:r>
            <w:r>
              <w:rPr>
                <w:rFonts w:ascii="Times New Roman" w:hAnsi="Times New Roman"/>
                <w:b w:val="false"/>
                <w:i w:val="false"/>
                <w:color w:val="000000"/>
                <w:sz w:val="16"/>
              </w:rPr>
              <w:t>$15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Charge for insufficient funds or returned checks</w:t>
            </w: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169.5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169.12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811—6.3</w:t>
      </w:r>
      <w:r>
        <w:rPr>
          <w:rFonts w:ascii="Times New Roman" w:hAnsi="Times New Roman"/>
          <w:b/>
          <w:i w:val="false"/>
          <w:color w:val="000000"/>
          <w:sz w:val="22"/>
        </w:rPr>
        <w:t xml:space="preserve">(169) </w:t>
      </w:r>
      <w:r>
        <w:rPr>
          <w:rFonts w:ascii="Times New Roman" w:hAnsi="Times New Roman"/>
          <w:b/>
          <w:i w:val="false"/>
          <w:color w:val="000000"/>
          <w:sz w:val="22"/>
        </w:rPr>
        <w:t xml:space="preserve">Reactivation fee. </w:t>
      </w:r>
      <w:r>
        <w:rPr>
          <w:rFonts w:ascii="Times New Roman" w:hAnsi="Times New Roman"/>
          <w:b w:val="false"/>
          <w:i w:val="false"/>
          <w:color w:val="000000"/>
          <w:sz w:val="22"/>
        </w:rPr>
        <w:t>All applications for reactivation of a lapsed or inactive license to practice veterinary medicine are filed with the secretary of the board, together with the then-current license fee, the current reactivation fee, and all applicable penalties for a lapsed or inactive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811—6.4</w:t>
      </w:r>
      <w:r>
        <w:rPr>
          <w:rFonts w:ascii="Times New Roman" w:hAnsi="Times New Roman"/>
          <w:b/>
          <w:i w:val="false"/>
          <w:color w:val="000000"/>
          <w:sz w:val="22"/>
        </w:rPr>
        <w:t xml:space="preserve">(169) </w:t>
      </w:r>
      <w:r>
        <w:rPr>
          <w:rFonts w:ascii="Times New Roman" w:hAnsi="Times New Roman"/>
          <w:b/>
          <w:i w:val="false"/>
          <w:color w:val="000000"/>
          <w:sz w:val="22"/>
        </w:rPr>
        <w:t xml:space="preserve">Graduates of foreign schools. </w:t>
      </w:r>
      <w:r>
        <w:rPr>
          <w:rFonts w:ascii="Times New Roman" w:hAnsi="Times New Roman"/>
          <w:b w:val="false"/>
          <w:i w:val="false"/>
          <w:color w:val="000000"/>
          <w:sz w:val="22"/>
        </w:rPr>
        <w:t>Graduates of foreign veterinary schools may become eligible for examination and licensure by either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Examination eligibility through ECFVG. </w:t>
      </w:r>
      <w:r>
        <w:rPr>
          <w:rFonts w:ascii="Times New Roman" w:hAnsi="Times New Roman"/>
          <w:b w:val="false"/>
          <w:i w:val="false"/>
          <w:color w:val="000000"/>
          <w:sz w:val="22"/>
        </w:rPr>
        <w:t>Graduates of foreign veterinary schools that, pursuant to the AVMA criteria, are not AVMA-accredited but are AVMA-listed may make application to take the NAVLE in this state provided that the application includes a copy of the applicant’s diploma or certificate indicating the award of a degree in veterinary medicine from an AVMA-listed college and a letter from the ECFVG verifying that the applicant is or will be participating in an ECFVG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Licensure eligibility through ECFVG. </w:t>
      </w:r>
      <w:r>
        <w:rPr>
          <w:rFonts w:ascii="Times New Roman" w:hAnsi="Times New Roman"/>
          <w:b w:val="false"/>
          <w:i w:val="false"/>
          <w:color w:val="000000"/>
          <w:sz w:val="22"/>
        </w:rPr>
        <w:t>Graduates of foreign veterinary schools that are not AVMA-accredited but are AVMA-listed will not be considered for licensing until they have received the certificate granted by the ECFVG. A license will not be issued to an applicant until the applicant submits a certified copy of the applicant’s ECFVG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Examination eligibility through PAVE. </w:t>
      </w:r>
      <w:r>
        <w:rPr>
          <w:rFonts w:ascii="Times New Roman" w:hAnsi="Times New Roman"/>
          <w:b w:val="false"/>
          <w:i w:val="false"/>
          <w:color w:val="000000"/>
          <w:sz w:val="22"/>
        </w:rPr>
        <w:t>Graduates of foreign veterinary schools may make application to take the NAVLE in this state provided that the application includes a certified copy of the applicant’s diploma or certificate indicating the award of a degree in veterinary medicine from a foreign veterinary school and a letter from the AAVSB on behalf of PAVE verifying that the applicant is participating in the PAVE certification program administered by the AAVSB, and has met the requirements for taking the NAVLE.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color w:val="000000"/>
          <w:sz w:val="22"/>
        </w:rPr>
        <w:t xml:space="preserve">Licensure eligibility through PAVE. </w:t>
      </w:r>
      <w:r>
        <w:rPr>
          <w:rFonts w:ascii="Times New Roman" w:hAnsi="Times New Roman"/>
          <w:b w:val="false"/>
          <w:i w:val="false"/>
          <w:color w:val="000000"/>
          <w:sz w:val="22"/>
        </w:rPr>
        <w:t>Graduates of foreign veterinary schools will not be considered for licensing until they have received the certificate granted by PAVE. A license will not be issued to an applicant until the applicant submits a copy of the applicant’s PAVE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811—6.5</w:t>
      </w:r>
      <w:r>
        <w:rPr>
          <w:rFonts w:ascii="Times New Roman" w:hAnsi="Times New Roman"/>
          <w:b/>
          <w:i w:val="false"/>
          <w:color w:val="000000"/>
          <w:sz w:val="22"/>
        </w:rPr>
        <w:t xml:space="preserve">(169) </w:t>
      </w:r>
      <w:r>
        <w:rPr>
          <w:rFonts w:ascii="Times New Roman" w:hAnsi="Times New Roman"/>
          <w:b/>
          <w:i w:val="false"/>
          <w:color w:val="000000"/>
          <w:sz w:val="22"/>
        </w:rPr>
        <w:t xml:space="preserve">License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by endorsement may be granted by the board pursuant to either Iowa Code section </w:t>
      </w:r>
      <w:hyperlink r:id="rId8">
        <w:r>
          <w:rPr>
            <w:rStyle w:val="Hyperlink"/>
            <w:rFonts w:ascii="Times New Roman" w:hAnsi="Times New Roman"/>
            <w:b w:val="false"/>
            <w:i w:val="false"/>
            <w:color w:val="000000"/>
            <w:sz w:val="22"/>
          </w:rPr>
          <w:t>169.10(1)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169.10(2)</w:t>
        </w:r>
      </w:hyperlink>
      <w:r>
        <w:rPr>
          <w:rFonts w:ascii="Times New Roman" w:hAnsi="Times New Roman"/>
          <w:b w:val="false"/>
          <w:i w:val="false"/>
          <w:color w:val="000000"/>
          <w:sz w:val="22"/>
        </w:rPr>
        <w:t xml:space="preserve">. An applicant may apply for a license by endorsement on a form provided by the board and pay the application fee and triennial license fee. In addition to the information specified in Iowa Code section </w:t>
      </w:r>
      <w:hyperlink r:id="rId10">
        <w:r>
          <w:rPr>
            <w:rStyle w:val="Hyperlink"/>
            <w:rFonts w:ascii="Times New Roman" w:hAnsi="Times New Roman"/>
            <w:b w:val="false"/>
            <w:i w:val="false"/>
            <w:color w:val="000000"/>
            <w:sz w:val="22"/>
          </w:rPr>
          <w:t>169.10</w:t>
        </w:r>
      </w:hyperlink>
      <w:r>
        <w:rPr>
          <w:rFonts w:ascii="Times New Roman" w:hAnsi="Times New Roman"/>
          <w:b w:val="false"/>
          <w:i w:val="false"/>
          <w:color w:val="000000"/>
          <w:sz w:val="22"/>
        </w:rPr>
        <w:t xml:space="preserve">, the applicant will supply the items referenced in paragraphs </w:t>
      </w:r>
      <w:hyperlink r:id="rId11">
        <w:r>
          <w:rPr>
            <w:rStyle w:val="Hyperlink"/>
            <w:rFonts w:ascii="Times New Roman" w:hAnsi="Times New Roman"/>
            <w:b w:val="false"/>
            <w:i w:val="false"/>
            <w:color w:val="000000"/>
            <w:sz w:val="22"/>
          </w:rPr>
          <w:t>6.1(2)</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with a non-Iowa license seeking licensure under Iowa Code section </w:t>
      </w:r>
      <w:hyperlink r:id="rId12">
        <w:r>
          <w:rPr>
            <w:rStyle w:val="Hyperlink"/>
            <w:rFonts w:ascii="Times New Roman" w:hAnsi="Times New Roman"/>
            <w:b w:val="false"/>
            <w:i w:val="false"/>
            <w:color w:val="000000"/>
            <w:sz w:val="22"/>
          </w:rPr>
          <w:t>169.10(1)</w:t>
        </w:r>
      </w:hyperlink>
      <w:r>
        <w:rPr>
          <w:rFonts w:ascii="Times New Roman" w:hAnsi="Times New Roman"/>
          <w:b w:val="false"/>
          <w:i w:val="false"/>
          <w:color w:val="000000"/>
          <w:sz w:val="22"/>
        </w:rPr>
        <w:t>,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applicant’s non-Iowa license was issued between December 31, 1964, and December 31, 1979, the applicant successfully completed the National Board Examination (NBE).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applicant’s non-Iowa license was issued between January 1, 1980, and December 31, 2000, the applicant successfully completed the NBE and the Clinical Competency Test (CCT).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applicant’s non-Iowa license was issued on or after January 1, 2001, the applicant successfully completed the NAVLE in accordance with rule </w:t>
      </w:r>
      <w:hyperlink r:id="rId13">
        <w:r>
          <w:rPr>
            <w:rStyle w:val="Hyperlink"/>
            <w:rFonts w:ascii="Times New Roman" w:hAnsi="Times New Roman"/>
            <w:b w:val="false"/>
            <w:i w:val="false"/>
            <w:color w:val="000000"/>
            <w:sz w:val="22"/>
          </w:rPr>
          <w:t>811—7.1</w:t>
        </w:r>
      </w:hyperlink>
      <w:r>
        <w:rPr>
          <w:rFonts w:ascii="Times New Roman" w:hAnsi="Times New Roman"/>
          <w:b w:val="false"/>
          <w:i w:val="false"/>
          <w:color w:val="000000"/>
          <w:sz w:val="22"/>
        </w:rPr>
        <w:t>(169).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 diplomate under Iowa Code section </w:t>
      </w:r>
      <w:hyperlink r:id="rId14">
        <w:r>
          <w:rPr>
            <w:rStyle w:val="Hyperlink"/>
            <w:rFonts w:ascii="Times New Roman" w:hAnsi="Times New Roman"/>
            <w:b w:val="false"/>
            <w:i w:val="false"/>
            <w:color w:val="000000"/>
            <w:sz w:val="22"/>
          </w:rPr>
          <w:t>169.10(2)</w:t>
        </w:r>
      </w:hyperlink>
      <w:r>
        <w:rPr>
          <w:rFonts w:ascii="Times New Roman" w:hAnsi="Times New Roman"/>
          <w:b w:val="false"/>
          <w:i w:val="false"/>
          <w:color w:val="000000"/>
          <w:sz w:val="22"/>
        </w:rPr>
        <w:t xml:space="preserve"> will also include a copy of the applicant’s board or college specialty certificate. For the purpose of this rule, a specialty board or college means a specialty board or college that has been officially recognized by the AVMA. Changes of specialty status shall be reported to the board within 30 days of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811—6.6</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licensed in at least one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1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is sent directly from the licensing authority to the board. This form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or pending licensing complaints or investigations. </w:t>
      </w:r>
      <w:r>
        <w:rPr>
          <w:rFonts w:ascii="Times New Roman" w:hAnsi="Times New Roman"/>
          <w:b w:val="false"/>
          <w:i w:val="false"/>
          <w:color w:val="000000"/>
          <w:sz w:val="22"/>
        </w:rPr>
        <w:t xml:space="preserve">If another jurisdiction has taken disciplinary action against an applicant or if the applicant has a complaint, allegation, or investigation relating to unprofessional conduct pending before any regulating entity in another jurisdiction, the board will proceed according to Iowa Code section </w:t>
      </w:r>
      <w:hyperlink r:id="rId16">
        <w:r>
          <w:rPr>
            <w:rStyle w:val="Hyperlink"/>
            <w:rFonts w:ascii="Times New Roman" w:hAnsi="Times New Roman"/>
            <w:b w:val="false"/>
            <w:i w:val="false"/>
            <w:color w:val="000000"/>
            <w:sz w:val="22"/>
          </w:rPr>
          <w:t>272C.12(1)</w:t>
        </w:r>
      </w:hyperlink>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811—6.7</w:t>
      </w:r>
      <w:r>
        <w:rPr>
          <w:rFonts w:ascii="Times New Roman" w:hAnsi="Times New Roman"/>
          <w:b/>
          <w:i w:val="false"/>
          <w:color w:val="000000"/>
          <w:sz w:val="22"/>
        </w:rPr>
        <w:t xml:space="preserve">(169) </w:t>
      </w:r>
      <w:r>
        <w:rPr>
          <w:rFonts w:ascii="Times New Roman" w:hAnsi="Times New Roman"/>
          <w:b/>
          <w:i w:val="false"/>
          <w:color w:val="000000"/>
          <w:sz w:val="22"/>
        </w:rPr>
        <w:t xml:space="preserve">Issuance of limited license; specialization.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val="false"/>
          <w:color w:val="000000"/>
          <w:sz w:val="22"/>
        </w:rPr>
        <w:t>The board may grant a license to practice veterinary medicine within a limited and specified 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option for board discipline under </w:t>
      </w:r>
      <w:hyperlink r:id="rId17">
        <w:r>
          <w:rPr>
            <w:rStyle w:val="Hyperlink"/>
            <w:rFonts w:ascii="Times New Roman" w:hAnsi="Times New Roman"/>
            <w:b w:val="false"/>
            <w:i w:val="false"/>
            <w:color w:val="000000"/>
            <w:sz w:val="22"/>
          </w:rPr>
          <w:t>811—Chapter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qualified member of the faculty of the Iowa State University College of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 applicant requesting limited or specialized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val="false"/>
          <w:color w:val="000000"/>
          <w:sz w:val="22"/>
        </w:rPr>
        <w:t>A licensed veterinarian will not claim or imply specialization unless the veterinarian is a diplomate in good standing of the respective specialty board or college recognized by the AVMA.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w:t>
      </w:r>
      <w:r>
        <w:rPr>
          <w:rFonts w:ascii="Times New Roman" w:hAnsi="Times New Roman"/>
          <w:b w:val="false"/>
          <w:i w:val="false"/>
          <w:color w:val="000000"/>
          <w:sz w:val="22"/>
        </w:rPr>
        <w:t> </w:t>
      </w:r>
      <w:r>
        <w:rPr>
          <w:rFonts w:ascii="Times New Roman" w:hAnsi="Times New Roman"/>
          <w:b w:val="false"/>
          <w:i w:val="false"/>
          <w:color w:val="000000"/>
          <w:sz w:val="22"/>
        </w:rPr>
        <w:t>Veterinary student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issue a veterinary student certificate to a veterinary student who is attending an AVMA-accredited college of veterinary medicine and in good academic standing, upon endorsement by the college that the student is competent to perform veterinary duties under the direction of an instructor of veterinary medicine or under the supervision of a supervising veterinarian. The college shall update the board if the veterinary student is no longer attending or in good academic standing with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extended by the board, the certificates are valid for no more than one year and expire each year on May 31. The board may grant an extension of the certificate for up to one year under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Veterinary student certificate holders are barred from administering rabies vaccine to dogs as described in Iowa Code section </w:t>
      </w:r>
      <w:hyperlink r:id="rId18">
        <w:r>
          <w:rPr>
            <w:rStyle w:val="Hyperlink"/>
            <w:rFonts w:ascii="Times New Roman" w:hAnsi="Times New Roman"/>
            <w:b w:val="false"/>
            <w:i w:val="false"/>
            <w:color w:val="000000"/>
            <w:sz w:val="22"/>
          </w:rPr>
          <w:t>351.35</w:t>
        </w:r>
      </w:hyperlink>
      <w:r>
        <w:rPr>
          <w:rFonts w:ascii="Times New Roman" w:hAnsi="Times New Roman"/>
          <w:b w:val="false"/>
          <w:i w:val="false"/>
          <w:color w:val="000000"/>
          <w:sz w:val="22"/>
        </w:rPr>
        <w:t xml:space="preserve"> and signing a certificate of veterinary inspection as described in Iowa Code section </w:t>
      </w:r>
      <w:hyperlink r:id="rId19">
        <w:r>
          <w:rPr>
            <w:rStyle w:val="Hyperlink"/>
            <w:rFonts w:ascii="Times New Roman" w:hAnsi="Times New Roman"/>
            <w:b w:val="false"/>
            <w:i w:val="false"/>
            <w:color w:val="000000"/>
            <w:sz w:val="22"/>
          </w:rPr>
          <w:t>163.12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w:t>
      </w:r>
      <w:r>
        <w:rPr>
          <w:rFonts w:ascii="Times New Roman" w:hAnsi="Times New Roman"/>
          <w:b w:val="false"/>
          <w:i w:val="false"/>
          <w:color w:val="000000"/>
          <w:sz w:val="22"/>
        </w:rPr>
        <w:t> </w:t>
      </w:r>
      <w:r>
        <w:rPr>
          <w:rFonts w:ascii="Times New Roman" w:hAnsi="Times New Roman"/>
          <w:b w:val="false"/>
          <w:i w:val="false"/>
          <w:color w:val="000000"/>
          <w:sz w:val="22"/>
        </w:rPr>
        <w:t>Limited licensure for faculty. Faculty, not including residents or interns, at Iowa State University College of Veterinary Medicine may be issued a limited license to practice veterinary medicine. The applicant for a limited license for faculty has graduated from an AVMA-accredited or AVMA-listed school of veterinary medicine or has received a PAVE or ECFVG certificate and submitted a completed application and the necessary fees. Holders of limited licenses for faculty are limited to duties performed in the classroom during periods of employment at the college.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811—6.8</w:t>
      </w:r>
      <w:r>
        <w:rPr>
          <w:rFonts w:ascii="Times New Roman" w:hAnsi="Times New Roman"/>
          <w:b/>
          <w:i w:val="false"/>
          <w:color w:val="000000"/>
          <w:sz w:val="22"/>
        </w:rPr>
        <w:t xml:space="preserve">(169)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A license to practice veterinary medicine, including a limited or specialized license, is issued for a three-year period, except that new licenses issued during a triennium are issued for the balance of that triennium. A license expires on June 30 of the third year of the triennium.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At least two months before the end of a triennium, a renewal notice will be sent to each licensee at the last address in the board’s file. Failure to receive the notice does not relieve the licensee of the obligation to pay triennium renewal fees on or before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val="false"/>
          <w:color w:val="000000"/>
          <w:sz w:val="22"/>
        </w:rPr>
        <w:t>The license renewal application will include a statement that certifies the jurisdictions in which the licensee is currently or has in the past been licensed to practice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val="false"/>
          <w:color w:val="000000"/>
          <w:sz w:val="22"/>
        </w:rPr>
        <w:t>Renewal fees shall be received by the board on or before the end of the triennium on June 30. Whenever renewal fees are not received as specified, the license lapses and the practice of veterinary medicine ceases until all renewal fees and penalty fees are received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w:t>
      </w:r>
      <w:r>
        <w:rPr>
          <w:rFonts w:ascii="Times New Roman" w:hAnsi="Times New Roman"/>
          <w:b w:val="false"/>
          <w:i w:val="false"/>
          <w:color w:val="000000"/>
          <w:sz w:val="22"/>
        </w:rPr>
        <w:t> </w:t>
      </w:r>
      <w:r>
        <w:rPr>
          <w:rFonts w:ascii="Times New Roman" w:hAnsi="Times New Roman"/>
          <w:b w:val="false"/>
          <w:i w:val="false"/>
          <w:color w:val="000000"/>
          <w:sz w:val="22"/>
        </w:rPr>
        <w:t>If the renewal fee has not been received by the board before the license has lapsed, an application for renewal filed with the board needs to include a renewal fee in addition to the reactivation fee and the late renewal penalty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811—6.9</w:t>
      </w:r>
      <w:r>
        <w:rPr>
          <w:rFonts w:ascii="Times New Roman" w:hAnsi="Times New Roman"/>
          <w:b/>
          <w:i w:val="false"/>
          <w:color w:val="000000"/>
          <w:sz w:val="22"/>
        </w:rPr>
        <w:t xml:space="preserve">(169) </w:t>
      </w:r>
      <w:r>
        <w:rPr>
          <w:rFonts w:ascii="Times New Roman" w:hAnsi="Times New Roman"/>
          <w:b/>
          <w:i w:val="false"/>
          <w:color w:val="000000"/>
          <w:sz w:val="22"/>
        </w:rPr>
        <w:t xml:space="preserve">Renewal, lapsed or inactive license. </w:t>
      </w:r>
      <w:r>
        <w:rPr>
          <w:rFonts w:ascii="Times New Roman" w:hAnsi="Times New Roman"/>
          <w:b w:val="false"/>
          <w:i w:val="false"/>
          <w:color w:val="000000"/>
          <w:sz w:val="22"/>
        </w:rPr>
        <w:t xml:space="preserve">A veterinarian whose license has lapsed may renew an expired license in circumstances authorized by Iowa Code section </w:t>
      </w:r>
      <w:hyperlink r:id="rId20">
        <w:r>
          <w:rPr>
            <w:rStyle w:val="Hyperlink"/>
            <w:rFonts w:ascii="Times New Roman" w:hAnsi="Times New Roman"/>
            <w:b w:val="false"/>
            <w:i w:val="false"/>
            <w:color w:val="000000"/>
            <w:sz w:val="22"/>
          </w:rPr>
          <w:t>169.12(2)</w:t>
        </w:r>
      </w:hyperlink>
      <w:r>
        <w:rPr>
          <w:rFonts w:ascii="Times New Roman" w:hAnsi="Times New Roman"/>
          <w:b w:val="false"/>
          <w:i w:val="false"/>
          <w:color w:val="000000"/>
          <w:sz w:val="22"/>
        </w:rPr>
        <w:t xml:space="preserve">. A veterinarian whose license has lapsed or has been placed on inactive status, prior to receiving active status licensure in the practice of veterinary medicine in the state of Iowa, satisfies the requirements in either subrule </w:t>
      </w:r>
      <w:hyperlink r:id="rId21">
        <w:r>
          <w:rPr>
            <w:rStyle w:val="Hyperlink"/>
            <w:rFonts w:ascii="Times New Roman" w:hAnsi="Times New Roman"/>
            <w:b w:val="false"/>
            <w:i w:val="false"/>
            <w:color w:val="000000"/>
            <w:sz w:val="22"/>
          </w:rPr>
          <w:t>6.9(1)</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for renewal of a lapsed or inactive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color w:val="000000"/>
          <w:sz w:val="22"/>
        </w:rPr>
        <w:t xml:space="preserve">Renewal of a lapsed or inactive license. </w:t>
      </w:r>
      <w:r>
        <w:rPr>
          <w:rFonts w:ascii="Times New Roman" w:hAnsi="Times New Roman"/>
          <w:b w:val="false"/>
          <w:i w:val="false"/>
          <w:color w:val="000000"/>
          <w:sz w:val="22"/>
        </w:rPr>
        <w:t>An applicant for renewal of a lapsed or inactive license needs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written application for renewal of a lapsed or inactive license to the board upon forms provided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Furnish evidence of compliance with continuing education requirements specified in rule </w:t>
      </w:r>
      <w:hyperlink r:id="rId23">
        <w:r>
          <w:rPr>
            <w:rStyle w:val="Hyperlink"/>
            <w:rFonts w:ascii="Times New Roman" w:hAnsi="Times New Roman"/>
            <w:b w:val="false"/>
            <w:i w:val="false"/>
            <w:color w:val="000000"/>
            <w:sz w:val="22"/>
          </w:rPr>
          <w:t>811—11.3</w:t>
        </w:r>
      </w:hyperlink>
      <w:r>
        <w:rPr>
          <w:rFonts w:ascii="Times New Roman" w:hAnsi="Times New Roman"/>
          <w:b w:val="false"/>
          <w:i w:val="false"/>
          <w:color w:val="000000"/>
          <w:sz w:val="22"/>
        </w:rPr>
        <w:t>(169).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color w:val="000000"/>
          <w:sz w:val="22"/>
        </w:rPr>
        <w:t xml:space="preserve">Renewal by endorsement. </w:t>
      </w:r>
      <w:r>
        <w:rPr>
          <w:rFonts w:ascii="Times New Roman" w:hAnsi="Times New Roman"/>
          <w:b w:val="false"/>
          <w:i w:val="false"/>
          <w:color w:val="000000"/>
          <w:sz w:val="22"/>
        </w:rPr>
        <w:t xml:space="preserve">An applicant for renewal by endorsement may submit an application for renewal by endorsement by following the procedures set out in rule </w:t>
      </w:r>
      <w:hyperlink r:id="rId24">
        <w:r>
          <w:rPr>
            <w:rStyle w:val="Hyperlink"/>
            <w:rFonts w:ascii="Times New Roman" w:hAnsi="Times New Roman"/>
            <w:b w:val="false"/>
            <w:i w:val="false"/>
            <w:color w:val="000000"/>
            <w:sz w:val="22"/>
          </w:rPr>
          <w:t>811—6.5</w:t>
        </w:r>
      </w:hyperlink>
      <w:r>
        <w:rPr>
          <w:rFonts w:ascii="Times New Roman" w:hAnsi="Times New Roman"/>
          <w:b w:val="false"/>
          <w:i w:val="false"/>
          <w:color w:val="000000"/>
          <w:sz w:val="22"/>
        </w:rPr>
        <w:t>(169).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7/1/80, Notice 10/31/79—published 7/23/80, effective 8/27/80]</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12/1/86, Notice 10/22/86—published 12/17/86, effective 5/1/87]</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1/30/92, Notice 9/18/91—published 2/19/92, effective 3/25/92]</w:t>
      </w:r>
    </w:p>
    <w:p>
      <w:pPr>
        <w:spacing w:before="0" w:after="0"/>
        <w:ind w:left="120"/>
        <w:jc w:val="center"/>
      </w:pPr>
      <w:r>
        <w:rPr>
          <w:rFonts w:ascii="Times New Roman" w:hAnsi="Times New Roman"/>
          <w:b w:val="false"/>
          <w:i w:val="false"/>
          <w:color w:val="000000"/>
          <w:sz w:val="21"/>
        </w:rPr>
        <w:t>[Filed emergency 3/5/93—published 3/31/93, effective 3/5/93]</w:t>
      </w:r>
    </w:p>
    <w:p>
      <w:pPr>
        <w:spacing w:before="0" w:after="0"/>
        <w:ind w:left="120"/>
        <w:jc w:val="center"/>
      </w:pPr>
      <w:r>
        <w:rPr>
          <w:rFonts w:ascii="Times New Roman" w:hAnsi="Times New Roman"/>
          <w:b w:val="false"/>
          <w:i w:val="false"/>
          <w:color w:val="000000"/>
          <w:sz w:val="21"/>
        </w:rPr>
        <w:t>[Filed 10/6/94, Notice 7/6/94—published 10/26/94, effective 11/30/94]</w:t>
      </w:r>
    </w:p>
    <w:p>
      <w:pPr>
        <w:spacing w:before="0" w:after="0"/>
        <w:ind w:left="120"/>
        <w:jc w:val="center"/>
      </w:pPr>
      <w:r>
        <w:rPr>
          <w:rFonts w:ascii="Times New Roman" w:hAnsi="Times New Roman"/>
          <w:b w:val="false"/>
          <w:i w:val="false"/>
          <w:color w:val="000000"/>
          <w:sz w:val="21"/>
        </w:rPr>
        <w:t>[Filed 5/2/96, Notice 3/27/96—published 5/22/96, effective 6/26/96]</w:t>
      </w:r>
    </w:p>
    <w:p>
      <w:pPr>
        <w:spacing w:before="0" w:after="0"/>
        <w:ind w:left="120"/>
        <w:jc w:val="center"/>
      </w:pPr>
      <w:r>
        <w:rPr>
          <w:rFonts w:ascii="Times New Roman" w:hAnsi="Times New Roman"/>
          <w:b w:val="false"/>
          <w:i w:val="false"/>
          <w:color w:val="000000"/>
          <w:sz w:val="21"/>
        </w:rPr>
        <w:t>[Filed 10/27/98, Notice 9/9/98—published 11/18/98, effective 12/23/98]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1984C</w:t>
      </w:r>
      <w:r>
        <w:rPr>
          <w:rFonts w:ascii="Times New Roman" w:hAnsi="Times New Roman"/>
          <w:b w:val="false"/>
          <w:i w:val="false"/>
          <w:color w:val="000000"/>
          <w:sz w:val="21"/>
        </w:rPr>
        <w:t xml:space="preserve"> (Notice ARC 1756C,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5062C</w:t>
      </w:r>
      <w:r>
        <w:rPr>
          <w:rFonts w:ascii="Times New Roman" w:hAnsi="Times New Roman"/>
          <w:b w:val="false"/>
          <w:i w:val="false"/>
          <w:color w:val="000000"/>
          <w:sz w:val="21"/>
        </w:rPr>
        <w:t xml:space="preserve"> (Notice ARC 5013C, IAB 3/25/20)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5638C</w:t>
      </w:r>
      <w:r>
        <w:rPr>
          <w:rFonts w:ascii="Times New Roman" w:hAnsi="Times New Roman"/>
          <w:b w:val="false"/>
          <w:i w:val="false"/>
          <w:color w:val="000000"/>
          <w:sz w:val="21"/>
        </w:rPr>
        <w:t xml:space="preserve"> (Notice ARC 5434C, IAB 2/10/21)</w:t>
      </w:r>
      <w:r>
        <w:rPr>
          <w:rFonts w:ascii="Times New Roman" w:hAnsi="Times New Roman"/>
          <w:b w:val="false"/>
          <w:i w:val="false"/>
          <w:color w:val="000000"/>
          <w:sz w:val="21"/>
        </w:rPr>
        <w:t>, IAB 6/2/21, effective 7/7/21]</w:t>
      </w:r>
      <w:r>
        <w:br/>
      </w:r>
      <w:r>
        <w:rPr>
          <w:rFonts w:ascii="Times New Roman" w:hAnsi="Times New Roman"/>
          <w:b w:val="false"/>
          <w:i w:val="false"/>
          <w:color w:val="000000"/>
          <w:sz w:val="21"/>
        </w:rPr>
        <w:t>[Filed ARC 5641C</w:t>
      </w:r>
      <w:r>
        <w:rPr>
          <w:rFonts w:ascii="Times New Roman" w:hAnsi="Times New Roman"/>
          <w:b w:val="false"/>
          <w:i w:val="false"/>
          <w:color w:val="000000"/>
          <w:sz w:val="21"/>
        </w:rPr>
        <w:t xml:space="preserve"> (Notice ARC 5474C,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7076C</w:t>
      </w:r>
      <w:r>
        <w:rPr>
          <w:rFonts w:ascii="Times New Roman" w:hAnsi="Times New Roman"/>
          <w:b w:val="false"/>
          <w:i w:val="false"/>
          <w:color w:val="000000"/>
          <w:sz w:val="21"/>
        </w:rPr>
        <w:t xml:space="preserve"> (Notice ARC 7030C, IAB 5/31/23)</w:t>
      </w:r>
      <w:r>
        <w:rPr>
          <w:rFonts w:ascii="Times New Roman" w:hAnsi="Times New Roman"/>
          <w:b w:val="false"/>
          <w:i w:val="false"/>
          <w:color w:val="000000"/>
          <w:sz w:val="21"/>
        </w:rPr>
        <w:t>, IAB 10/4/23, effective 11/8/23]</w:t>
      </w:r>
    </w:p>
    <w:p>
      <w:pPr>
        <w:spacing w:before="0" w:after="0"/>
        <w:ind w:left="120"/>
        <w:jc w:val="center"/>
      </w:pPr>
      <w:r>
        <w:rPr>
          <w:rFonts w:ascii="Times New Roman" w:hAnsi="Times New Roman"/>
          <w:b w:val="false"/>
          <w:i w:val="false"/>
          <w:color w:val="000000"/>
          <w:sz w:val="21"/>
        </w:rPr>
        <w:t>[Filed ARC 8015C</w:t>
      </w:r>
      <w:r>
        <w:rPr>
          <w:rFonts w:ascii="Times New Roman" w:hAnsi="Times New Roman"/>
          <w:b w:val="false"/>
          <w:i w:val="false"/>
          <w:color w:val="000000"/>
          <w:sz w:val="21"/>
        </w:rPr>
        <w:t xml:space="preserve"> (Notice ARC 7561C,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11.7.1.pdf" Type="http://schemas.openxmlformats.org/officeDocument/2006/relationships/hyperlink" Id="rId5"/>
    <Relationship TargetMode="External" Target="https://www.legis.iowa.gov/docs/ico/chapter/169.5.pdf" Type="http://schemas.openxmlformats.org/officeDocument/2006/relationships/hyperlink" Id="rId6"/>
    <Relationship TargetMode="External" Target="https://www.legis.iowa.gov/docs/ico/chapter/169.12.pdf" Type="http://schemas.openxmlformats.org/officeDocument/2006/relationships/hyperlink" Id="rId7"/>
    <Relationship TargetMode="External" Target="https://www.legis.iowa.gov/docs/ico/chapter/169.10.pdf" Type="http://schemas.openxmlformats.org/officeDocument/2006/relationships/hyperlink" Id="rId8"/>
    <Relationship TargetMode="External" Target="https://www.legis.iowa.gov/docs/ico/chapter/169.10.pdf" Type="http://schemas.openxmlformats.org/officeDocument/2006/relationships/hyperlink" Id="rId9"/>
    <Relationship TargetMode="External" Target="https://www.legis.iowa.gov/docs/ico/chapter/169.10.pdf" Type="http://schemas.openxmlformats.org/officeDocument/2006/relationships/hyperlink" Id="rId10"/>
    <Relationship TargetMode="External" Target="https://www.legis.iowa.gov/docs/iac/rule/811.6.1.pdf" Type="http://schemas.openxmlformats.org/officeDocument/2006/relationships/hyperlink" Id="rId11"/>
    <Relationship TargetMode="External" Target="https://www.legis.iowa.gov/docs/ico/chapter/169.10.pdf" Type="http://schemas.openxmlformats.org/officeDocument/2006/relationships/hyperlink" Id="rId12"/>
    <Relationship TargetMode="External" Target="https://www.legis.iowa.gov/docs/iac/rule/811.7.1.pdf" Type="http://schemas.openxmlformats.org/officeDocument/2006/relationships/hyperlink" Id="rId13"/>
    <Relationship TargetMode="External" Target="https://www.legis.iowa.gov/docs/ico/chapter/169.10.pdf" Type="http://schemas.openxmlformats.org/officeDocument/2006/relationships/hyperlink" Id="rId14"/>
    <Relationship TargetMode="External" Target="https://www.legis.iowa.gov/docs/ico/chapter/272C.12.pdf" Type="http://schemas.openxmlformats.org/officeDocument/2006/relationships/hyperlink" Id="rId15"/>
    <Relationship TargetMode="External" Target="https://www.legis.iowa.gov/docs/ico/chapter/272C.12.pdf" Type="http://schemas.openxmlformats.org/officeDocument/2006/relationships/hyperlink" Id="rId16"/>
    <Relationship TargetMode="External" Target="https://www.legis.iowa.gov/docs/iac/chapter/811.10.pdf" Type="http://schemas.openxmlformats.org/officeDocument/2006/relationships/hyperlink" Id="rId17"/>
    <Relationship TargetMode="External" Target="https://www.legis.iowa.gov/docs/ico/chapter/351.35.pdf" Type="http://schemas.openxmlformats.org/officeDocument/2006/relationships/hyperlink" Id="rId18"/>
    <Relationship TargetMode="External" Target="https://www.legis.iowa.gov/docs/ico/chapter/163.12.pdf" Type="http://schemas.openxmlformats.org/officeDocument/2006/relationships/hyperlink" Id="rId19"/>
    <Relationship TargetMode="External" Target="https://www.legis.iowa.gov/docs/ico/chapter/169.12.pdf" Type="http://schemas.openxmlformats.org/officeDocument/2006/relationships/hyperlink" Id="rId20"/>
    <Relationship TargetMode="External" Target="https://www.legis.iowa.gov/docs/iac/rule/811.6.9.pdf" Type="http://schemas.openxmlformats.org/officeDocument/2006/relationships/hyperlink" Id="rId21"/>
    <Relationship TargetMode="External" Target="https://www.legis.iowa.gov/docs/iac/rule/811.6.9.pdf" Type="http://schemas.openxmlformats.org/officeDocument/2006/relationships/hyperlink" Id="rId22"/>
    <Relationship TargetMode="External" Target="https://www.legis.iowa.gov/docs/iac/rule/811.11.3.pdf" Type="http://schemas.openxmlformats.org/officeDocument/2006/relationships/hyperlink" Id="rId23"/>
    <Relationship TargetMode="External" Target="https://www.legis.iowa.gov/docs/iac/rule/811.6.5.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69.pdf" Type="http://schemas.openxmlformats.org/officeDocument/2006/relationships/hyperlink" Id="rId26"/>
    <Relationship TargetMode="External" Target="https://www.legis.iowa.gov/docs/ico/chapter/272C.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