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MILITARY SERVICE AND VETERAN RECIPROCITY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11/8/28</w:t>
      </w:r>
    </w:p>
    <w:p>
      <w:pPr>
        <w:spacing w:before="0" w:after="0"/>
        <w:ind w:left="120"/>
        <w:jc w:val="both"/>
      </w:pPr>
      <w:r>
        <w:rPr>
          <w:rFonts w:ascii="Times New Roman" w:hAnsi="Times New Roman"/>
          <w:b/>
          <w:i w:val="false"/>
          <w:color w:val="000000"/>
          <w:sz w:val="22"/>
        </w:rPr>
        <w:t>811—15.1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“licensure” </w:t>
      </w:r>
      <w:r>
        <w:rPr>
          <w:rFonts w:ascii="Times New Roman" w:hAnsi="Times New Roman"/>
          <w:b w:val="false"/>
          <w:i w:val="false"/>
          <w:color w:val="000000"/>
          <w:sz w:val="22"/>
        </w:rPr>
        <w:t>means any license, registration, certificate, or permit that may be granted by the Iowa board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5">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or in the organized reserves of the United States, as provided in 10 U.S.C. Section 10101.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“Military service applicant” </w:t>
      </w:r>
      <w:r>
        <w:rPr>
          <w:rFonts w:ascii="Times New Roman" w:hAnsi="Times New Roman"/>
          <w:b w:val="false"/>
          <w:i w:val="false"/>
          <w:color w:val="000000"/>
          <w:sz w:val="22"/>
        </w:rPr>
        <w:t>means an individual requesting credit toward licensure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“Spouse”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 xml:space="preserve">means an individual who meets the definition of “veteran” in Iowa Code section </w:t>
      </w:r>
      <w:hyperlink r:id="rId6">
        <w:r>
          <w:rPr>
            <w:rStyle w:val="Hyperlink"/>
            <w:rFonts w:ascii="Times New Roman" w:hAnsi="Times New Roman"/>
            <w:b w:val="false"/>
            <w:i w:val="false"/>
            <w:color w:val="000000"/>
            <w:sz w:val="22"/>
          </w:rPr>
          <w:t>35.1(2)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7078C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811—15.2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submitted with an application for licensure or examination, or prior to application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shall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board shall promptly determine whether the verified military education, training, or service will satisfy all or any part of the identified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val="false"/>
          <w:color w:val="000000"/>
          <w:sz w:val="22"/>
        </w:rPr>
        <w:t>The board shall grant credit requested in the application in whole or in part if the board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val="false"/>
          <w:color w:val="000000"/>
          <w:sz w:val="22"/>
        </w:rPr>
        <w:t>The board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who is aggrieved by the board’s decision may request a contested case (administrative hearing) and may participate in a contested case by telephone. A request for a contested case shall be made within 30 days of issuance of the board’s decision. The provisions of rules </w:t>
      </w:r>
      <w:hyperlink r:id="rId7">
        <w:r>
          <w:rPr>
            <w:rStyle w:val="Hyperlink"/>
            <w:rFonts w:ascii="Times New Roman" w:hAnsi="Times New Roman"/>
            <w:b w:val="false"/>
            <w:i w:val="false"/>
            <w:color w:val="000000"/>
            <w:sz w:val="22"/>
          </w:rPr>
          <w:t>811—10.13(17A,169,272C)</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811—10.38(17A)</w:t>
        </w:r>
      </w:hyperlink>
      <w:r>
        <w:rPr>
          <w:rFonts w:ascii="Times New Roman" w:hAnsi="Times New Roman"/>
          <w:b w:val="false"/>
          <w:i w:val="false"/>
          <w:color w:val="000000"/>
          <w:sz w:val="22"/>
        </w:rPr>
        <w:t xml:space="preserve"> shall apply, except that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15.2(8)</w:t>
      </w:r>
      <w:r>
        <w:rPr>
          <w:rFonts w:ascii="Times New Roman" w:hAnsi="Times New Roman"/>
          <w:b w:val="false"/>
          <w:i w:val="false"/>
          <w:color w:val="000000"/>
          <w:sz w:val="22"/>
        </w:rPr>
        <w:t> </w:t>
      </w:r>
      <w:r>
        <w:rPr>
          <w:rFonts w:ascii="Times New Roman" w:hAnsi="Times New Roman"/>
          <w:b w:val="false"/>
          <w:i w:val="false"/>
          <w:color w:val="000000"/>
          <w:sz w:val="22"/>
        </w:rPr>
        <w:t>The board shall grant or deny the military service application prior to ruling on the application for licensure. The applicant shall not be required to submit any fees in connection with the licensure application unless the board grants the military service application. If the board does not grant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7078C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811—15.3</w:t>
      </w:r>
      <w:r>
        <w:rPr>
          <w:rFonts w:ascii="Times New Roman" w:hAnsi="Times New Roman"/>
          <w:b/>
          <w:i w:val="false"/>
          <w:color w:val="000000"/>
          <w:sz w:val="22"/>
        </w:rPr>
        <w:t xml:space="preserve">(272C) </w:t>
      </w:r>
      <w:r>
        <w:rPr>
          <w:rFonts w:ascii="Times New Roman" w:hAnsi="Times New Roman"/>
          <w:b/>
          <w:i w:val="false"/>
          <w:color w:val="000000"/>
          <w:sz w:val="22"/>
        </w:rPr>
        <w:t xml:space="preserve">Veteran or spouse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 veteran or spouse with an unrestricted professional license in another jurisdiction may apply for licensure in Iowa through reciprocity. A veteran or spouse must pass any examinations required for licensure to be eligible for licensure through reciprocity and will be given credit for examinations previously passed when consistent with board laws and rules on examination requirements. A fully completed application for licensure submitted by a veteran or spouse under this subrule shall be given priority and shall be expedited.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Such an application shall contain all of the information required of all applicants for licensure who hold unrestricted licenses in other jurisdictions and who are applying for licensure by reciprocity, including but not limited to completion of all required forms, payment of applicable fees, disclosure of criminal or disciplinary history, and, if applicable, a criminal history background check. The applicant shall use the same forms as any other applicant for licensure by reciprocity and shall additionally provide such documentation as is reasonably needed to verify the applicant’s status as a veteran under Iowa Code section</w:t>
      </w:r>
      <w:hyperlink r:id="rId9">
        <w:r>
          <w:rPr>
            <w:rStyle w:val="Hyperlink"/>
            <w:rFonts w:ascii="Times New Roman" w:hAnsi="Times New Roman"/>
            <w:b w:val="false"/>
            <w:i w:val="false"/>
            <w:color w:val="000000"/>
            <w:sz w:val="22"/>
          </w:rPr>
          <w:t> 35.1(2)</w:t>
        </w:r>
      </w:hyperlink>
      <w:r>
        <w:rPr>
          <w:rFonts w:ascii="Times New Roman" w:hAnsi="Times New Roman"/>
          <w:b w:val="false"/>
          <w:i w:val="false"/>
          <w:color w:val="000000"/>
          <w:sz w:val="22"/>
        </w:rPr>
        <w:t xml:space="preserve"> or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Upon receipt of a fully completed licensure application, the board shall promptly determine if the scope of practice in the jurisdiction where the applicant is licensed is substantially equivalent to the scope of practice in Iowa. The board shall make this determination based on information supplied by the applicant and such additional information as the board may acquire from the applicable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The board shall promptly grant a license to the applicant if the applicant is licensed in the same or similar profession in another jurisdiction whose scope of practice is substantially equivalent to the scope of practice in Iowa, unless the applicant is ineligible for licensure based on other grounds, for example, the applicant’s disciplinary or criminal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that the scope of practice in the jurisdiction in which the applicant is licensed is not substantially equivalent to the scope of practice in Iowa, the board shall promptly inform the applicant of the additional education or training required for licensure in Iowa. Unless the applicant is ineligible for licensure based on other grounds, such as disciplinary or criminal background,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passed the required examination(s) for licensure, the applicant may not be issued a temporary license but may request that the licensure application be placed in pending status for up to one year or as mutually agreed to provide the applicant with the opportunity to satisfy the examination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additional education or training is required, the applicant may request that the board issue a temporary license for a specified period of time during which the applicant will successfully complete the necessary education or training. The board shall issue a temporary license for a specified period of time upon such conditions as the board deems reasonably necessary to protect the health, welfare or safety of the public unless the board determines that the deficiency is of a character that the public health, welfare or safety will be adversely affected if a temporary license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 temporary license is denied, the board shall issue an order fully explaining the decision and shall inform the applicant of the steps the applicant may take in order to receive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temporary license is issued, the application for full licensure shall be placed in pending status until the necessary education or training has been successfully completed or the temporary license expires, whichever occurs first. The board may extend a temporary license on a case-by-case basis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aggrieved by the board’s decision to deny an application for a reciprocal license or a temporary license or is aggrieved by the terms under which a temporary license will be granted may request a contested case (administrative hearing) and may participate in a contested case by telephone. A request for a contested case shall be made within 30 days of issuance of the board’s decision. The provisions of rules </w:t>
      </w:r>
      <w:hyperlink r:id="rId10">
        <w:r>
          <w:rPr>
            <w:rStyle w:val="Hyperlink"/>
            <w:rFonts w:ascii="Times New Roman" w:hAnsi="Times New Roman"/>
            <w:b w:val="false"/>
            <w:i w:val="false"/>
            <w:color w:val="000000"/>
            <w:sz w:val="22"/>
          </w:rPr>
          <w:t>811—10.13(17A,169,272C)</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811—10.38(17A)</w:t>
        </w:r>
      </w:hyperlink>
      <w:r>
        <w:rPr>
          <w:rFonts w:ascii="Times New Roman" w:hAnsi="Times New Roman"/>
          <w:b w:val="false"/>
          <w:i w:val="false"/>
          <w:color w:val="000000"/>
          <w:sz w:val="22"/>
        </w:rPr>
        <w:t xml:space="preserve"> shall apply, except that no fees or costs shall be assessed against the applicant in connection with a contested case conducted pursuant to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7078C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272C.12A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7078C</w:t>
      </w:r>
      <w:r>
        <w:rPr>
          <w:rFonts w:ascii="Times New Roman" w:hAnsi="Times New Roman"/>
          <w:b w:val="false"/>
          <w:i w:val="false"/>
          <w:color w:val="000000"/>
          <w:sz w:val="21"/>
        </w:rPr>
        <w:t xml:space="preserve"> (Notice ARC 7029C, IAB 5/31/23)</w:t>
      </w:r>
      <w:r>
        <w:rPr>
          <w:rFonts w:ascii="Times New Roman" w:hAnsi="Times New Roman"/>
          <w:b w:val="false"/>
          <w:i w:val="false"/>
          <w:color w:val="000000"/>
          <w:sz w:val="21"/>
        </w:rPr>
        <w:t>, IAB 10/4/23,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A.1.pdf" Type="http://schemas.openxmlformats.org/officeDocument/2006/relationships/hyperlink" Id="rId5"/>
    <Relationship TargetMode="External" Target="https://www.legis.iowa.gov/docs/ico/chapter/35.1.pdf" Type="http://schemas.openxmlformats.org/officeDocument/2006/relationships/hyperlink" Id="rId6"/>
    <Relationship TargetMode="External" Target="https://www.legis.iowa.gov/docs/iac/rule/811.10.13.pdf" Type="http://schemas.openxmlformats.org/officeDocument/2006/relationships/hyperlink" Id="rId7"/>
    <Relationship TargetMode="External" Target="https://www.legis.iowa.gov/docs/iac/rule/811.10.38.pdf" Type="http://schemas.openxmlformats.org/officeDocument/2006/relationships/hyperlink" Id="rId8"/>
    <Relationship TargetMode="External" Target="https://www.legis.iowa.gov/docs/ico/chapter/35.1.pdf" Type="http://schemas.openxmlformats.org/officeDocument/2006/relationships/hyperlink" Id="rId9"/>
    <Relationship TargetMode="External" Target="https://www.legis.iowa.gov/docs/iac/rule/811.10.13.pdf" Type="http://schemas.openxmlformats.org/officeDocument/2006/relationships/hyperlink" Id="rId10"/>
    <Relationship TargetMode="External" Target="https://www.legis.iowa.gov/docs/iac/rule/811.10.38.pdf" Type="http://schemas.openxmlformats.org/officeDocument/2006/relationships/hyperlink" Id="rId11"/>
    <Relationship TargetMode="External" Target="https://www.legis.iowa.gov/docs/ico/chapter/272C.12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