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COLLECTION PROCEDURES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811—13.1</w:t>
      </w:r>
      <w:r>
        <w:rPr>
          <w:rFonts w:ascii="Times New Roman" w:hAnsi="Times New Roman"/>
          <w:b/>
          <w:i w:val="false"/>
          <w:color w:val="000000"/>
          <w:sz w:val="22"/>
        </w:rPr>
        <w:t xml:space="preserve">(169,252J,272D) </w:t>
      </w:r>
      <w:r>
        <w:rPr>
          <w:rFonts w:ascii="Times New Roman" w:hAnsi="Times New Roman"/>
          <w:b/>
          <w:i w:val="false"/>
          <w:color w:val="000000"/>
          <w:sz w:val="22"/>
        </w:rPr>
        <w:t xml:space="preserve">Licensing actions. </w:t>
      </w:r>
      <w:r>
        <w:rPr>
          <w:rFonts w:ascii="Times New Roman" w:hAnsi="Times New Roman"/>
          <w:b w:val="false"/>
          <w:i w:val="false"/>
          <w:color w:val="000000"/>
          <w:sz w:val="22"/>
        </w:rPr>
        <w:t xml:space="preserve">In addition to other reasons specified by statute or rule, the board will refuse to issue a credential or may revoke, suspend, or not renew any credential for which it has jurisdiction if the board is in receipt of a certificate of noncompliance from the child support recovery unit pursuant to the procedures set forth in Iowa Code chapter </w:t>
      </w:r>
      <w:hyperlink r:id="rId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from the centralized collection unit of the department of revenue pursuant to the procedures set forth in Iowa Code chapter </w:t>
      </w:r>
      <w:hyperlink r:id="rId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An applicant or credential holder whose application is denied or whose credential is denied, suspended, or revoked because of receipt by the board of a certificate of noncompliance issued by the child support recovery unit or by the centralized collection unit of the department of revenue is subject to the provisions of rule </w:t>
      </w:r>
      <w:hyperlink r:id="rId7">
        <w:r>
          <w:rPr>
            <w:rStyle w:val="Hyperlink"/>
            <w:rFonts w:ascii="Times New Roman" w:hAnsi="Times New Roman"/>
            <w:b w:val="false"/>
            <w:i w:val="false"/>
            <w:color w:val="000000"/>
            <w:sz w:val="22"/>
          </w:rPr>
          <w:t>811—13.1</w:t>
        </w:r>
      </w:hyperlink>
      <w:r>
        <w:rPr>
          <w:rFonts w:ascii="Times New Roman" w:hAnsi="Times New Roman"/>
          <w:b w:val="false"/>
          <w:i w:val="false"/>
          <w:color w:val="000000"/>
          <w:sz w:val="22"/>
        </w:rPr>
        <w:t xml:space="preserve">(169,252J,272D). Procedures specified in </w:t>
      </w:r>
      <w:hyperlink r:id="rId8">
        <w:r>
          <w:rPr>
            <w:rStyle w:val="Hyperlink"/>
            <w:rFonts w:ascii="Times New Roman" w:hAnsi="Times New Roman"/>
            <w:b w:val="false"/>
            <w:i w:val="false"/>
            <w:color w:val="000000"/>
            <w:sz w:val="22"/>
          </w:rPr>
          <w:t>811—Chapter 10</w:t>
        </w:r>
      </w:hyperlink>
      <w:r>
        <w:rPr>
          <w:rFonts w:ascii="Times New Roman" w:hAnsi="Times New Roman"/>
          <w:b w:val="false"/>
          <w:i w:val="false"/>
          <w:color w:val="000000"/>
          <w:sz w:val="22"/>
        </w:rPr>
        <w:t xml:space="preserve"> for contesting board actions do not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811—13.2</w:t>
      </w:r>
      <w:r>
        <w:rPr>
          <w:rFonts w:ascii="Times New Roman" w:hAnsi="Times New Roman"/>
          <w:b/>
          <w:i w:val="false"/>
          <w:color w:val="000000"/>
          <w:sz w:val="22"/>
        </w:rPr>
        <w:t xml:space="preserve">(169,252J,272D) </w:t>
      </w:r>
      <w:r>
        <w:rPr>
          <w:rFonts w:ascii="Times New Roman" w:hAnsi="Times New Roman"/>
          <w:b/>
          <w:i w:val="false"/>
          <w:color w:val="000000"/>
          <w:sz w:val="22"/>
        </w:rPr>
        <w:t xml:space="preserve">Collection procedures. </w:t>
      </w:r>
      <w:r>
        <w:rPr>
          <w:rFonts w:ascii="Times New Roman" w:hAnsi="Times New Roman"/>
          <w:b w:val="false"/>
          <w:i w:val="false"/>
          <w:color w:val="000000"/>
          <w:sz w:val="22"/>
        </w:rPr>
        <w:t xml:space="preserve">The following procedures apply to actions taken by the board on a certificate of noncompliance pursuant to Iowa Code chapter </w:t>
      </w:r>
      <w:hyperlink r:id="rId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mandated by Iowa Code section </w:t>
      </w:r>
      <w:hyperlink r:id="rId1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will be served upon the applicant or credential holder by restricted certified mail, return receipt requested, or personal service in accordance with Iowa </w:t>
      </w:r>
      <w:r>
        <w:rPr>
          <w:rFonts w:ascii="Times New Roman" w:hAnsi="Times New Roman"/>
          <w:b w:val="false"/>
          <w:i w:val="false"/>
          <w:color w:val="000000"/>
          <w:sz w:val="22"/>
        </w:rPr>
        <w:t>Rule of Civil Procedure 1.305</w:t>
      </w:r>
      <w:r>
        <w:rPr>
          <w:rFonts w:ascii="Times New Roman" w:hAnsi="Times New Roman"/>
          <w:b w:val="false"/>
          <w:i w:val="false"/>
          <w:color w:val="000000"/>
          <w:sz w:val="22"/>
        </w:rPr>
        <w:t>. Alternatively, the applicant or credential holder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a credential or the denial of the issuance or renewal of a credential, as specified in the notice mandated by Iowa Code section </w:t>
      </w:r>
      <w:hyperlink r:id="rId13">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or </w:t>
      </w:r>
      <w:hyperlink r:id="rId14">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is 60 days following service of the notice upon the credential holder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and credential holders shall keep the board informed of all court actions and all child support recovery unit actions taken under or in connection with Iowa Code chapter </w:t>
      </w:r>
      <w:hyperlink r:id="rId1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the centralized collection unit actions taken in connection with Iowa Code chapter </w:t>
      </w:r>
      <w:hyperlink r:id="rId1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Applicants and credential holders shall provide the board copies, within seven days of filing or issuance, of all applications filed with the district court pursuant to Iowa Code section </w:t>
      </w:r>
      <w:hyperlink r:id="rId17">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all court orders entered in such actions, and withdrawals of certificates of noncompliance by the child support recovery unit or by the centralized collection unit of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13.2(4)</w:t>
      </w:r>
      <w:r>
        <w:rPr>
          <w:rFonts w:ascii="Times New Roman" w:hAnsi="Times New Roman"/>
          <w:b w:val="false"/>
          <w:i w:val="false"/>
          <w:color w:val="000000"/>
          <w:sz w:val="22"/>
        </w:rPr>
        <w:t> </w:t>
      </w:r>
      <w:r>
        <w:rPr>
          <w:rFonts w:ascii="Times New Roman" w:hAnsi="Times New Roman"/>
          <w:b w:val="false"/>
          <w:i w:val="false"/>
          <w:color w:val="000000"/>
          <w:sz w:val="22"/>
        </w:rPr>
        <w:t xml:space="preserve">All board fees for applications, credential renewals or reinstatements will be paid by the applicant or credential holder before a credential will be issued, renewed or reinstated after the board has denied the issuance or renewal of a credential or has suspended or revoked a credential pursuant to Iowa Code chapter </w:t>
      </w:r>
      <w:hyperlink r:id="rId1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20">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13.2(5)</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applicant or credential holder timely files a district court action following service of a board notice pursuant to Iowa Code sections </w:t>
      </w:r>
      <w:hyperlink r:id="rId2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or Iowa Code sections </w:t>
      </w:r>
      <w:hyperlink r:id="rId23">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the board will continue with the intended action described in the notice upon receipt of a court order lifting the stay, dismissing the action, or otherwise directing the board to proceed. For the purpose of determining the effective date of revocation or suspension, or denial of the issuance or renewal of a credential, the board will count the number of days before the action was filed and the number of days after the action was disposed of by the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8022C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5">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8/9/96, Notice 5/22/96—published 8/28/96, effective 10/2/96]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9/4/08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4/23/08</w:t>
      </w:r>
      <w:r>
        <w:rPr>
          <w:rFonts w:ascii="Times New Roman" w:hAnsi="Times New Roman"/>
          <w:b w:val="false"/>
          <w:i w:val="false"/>
          <w:color w:val="000000"/>
          <w:sz w:val="21"/>
        </w:rPr>
        <w:t xml:space="preserv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9512B</w:t>
      </w:r>
      <w:r>
        <w:rPr>
          <w:rFonts w:ascii="Times New Roman" w:hAnsi="Times New Roman"/>
          <w:b w:val="false"/>
          <w:i w:val="false"/>
          <w:color w:val="000000"/>
          <w:sz w:val="21"/>
        </w:rPr>
        <w:t xml:space="preserve"> (Notice ARC 9429B, IAB 3/23/11)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8022C</w:t>
      </w:r>
      <w:r>
        <w:rPr>
          <w:rFonts w:ascii="Times New Roman" w:hAnsi="Times New Roman"/>
          <w:b w:val="false"/>
          <w:i w:val="false"/>
          <w:color w:val="000000"/>
          <w:sz w:val="21"/>
        </w:rPr>
        <w:t xml:space="preserve"> (Notice ARC 7568C, IAB 1/24/24)</w:t>
      </w:r>
      <w:r>
        <w:rPr>
          <w:rFonts w:ascii="Times New Roman" w:hAnsi="Times New Roman"/>
          <w:b w:val="false"/>
          <w:i w:val="false"/>
          <w:color w:val="000000"/>
          <w:sz w:val="21"/>
        </w:rPr>
        <w:t>, IAB 5/15/24, effective 7/1/24]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J.pdf" Type="http://schemas.openxmlformats.org/officeDocument/2006/relationships/hyperlink" Id="rId5"/>
    <Relationship TargetMode="External" Target="https://www.legis.iowa.gov/docs/ico/chapter/272D.pdf" Type="http://schemas.openxmlformats.org/officeDocument/2006/relationships/hyperlink" Id="rId6"/>
    <Relationship TargetMode="External" Target="https://www.legis.iowa.gov/docs/iac/rule/811.13.1.pdf" Type="http://schemas.openxmlformats.org/officeDocument/2006/relationships/hyperlink" Id="rId7"/>
    <Relationship TargetMode="External" Target="https://www.legis.iowa.gov/docs/iac/chapter/811.10.pdf" Type="http://schemas.openxmlformats.org/officeDocument/2006/relationships/hyperlink" Id="rId8"/>
    <Relationship TargetMode="External" Target="https://www.legis.iowa.gov/docs/ico/chapter/252J.pdf" Type="http://schemas.openxmlformats.org/officeDocument/2006/relationships/hyperlink" Id="rId9"/>
    <Relationship TargetMode="External" Target="https://www.legis.iowa.gov/docs/ico/chapter/272D.pdf" Type="http://schemas.openxmlformats.org/officeDocument/2006/relationships/hyperlink" Id="rId10"/>
    <Relationship TargetMode="External" Target="https://www.legis.iowa.gov/docs/ico/chapter/252J.8.pdf" Type="http://schemas.openxmlformats.org/officeDocument/2006/relationships/hyperlink" Id="rId11"/>
    <Relationship TargetMode="External" Target="https://www.legis.iowa.gov/docs/ico/chapter/272D.8.pdf" Type="http://schemas.openxmlformats.org/officeDocument/2006/relationships/hyperlink" Id="rId12"/>
    <Relationship TargetMode="External" Target="https://www.legis.iowa.gov/docs/ico/chapter/252J.8.pdf" Type="http://schemas.openxmlformats.org/officeDocument/2006/relationships/hyperlink" Id="rId13"/>
    <Relationship TargetMode="External" Target="https://www.legis.iowa.gov/docs/ico/chapter/272D.8.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272D.pdf" Type="http://schemas.openxmlformats.org/officeDocument/2006/relationships/hyperlink" Id="rId16"/>
    <Relationship TargetMode="External" Target="https://www.legis.iowa.gov/docs/ico/chapter/252J.9.pdf" Type="http://schemas.openxmlformats.org/officeDocument/2006/relationships/hyperlink" Id="rId17"/>
    <Relationship TargetMode="External" Target="https://www.legis.iowa.gov/docs/ico/chapter/272D.9.pdf" Type="http://schemas.openxmlformats.org/officeDocument/2006/relationships/hyperlink" Id="rId18"/>
    <Relationship TargetMode="External" Target="https://www.legis.iowa.gov/docs/ico/chapter/252J.pdf" Type="http://schemas.openxmlformats.org/officeDocument/2006/relationships/hyperlink" Id="rId19"/>
    <Relationship TargetMode="External" Target="https://www.legis.iowa.gov/docs/ico/chapter/272D.pdf" Type="http://schemas.openxmlformats.org/officeDocument/2006/relationships/hyperlink" Id="rId20"/>
    <Relationship TargetMode="External" Target="https://www.legis.iowa.gov/docs/ico/chapter/252J.8.pdf" Type="http://schemas.openxmlformats.org/officeDocument/2006/relationships/hyperlink" Id="rId21"/>
    <Relationship TargetMode="External" Target="https://www.legis.iowa.gov/docs/ico/chapter/252J.9.pdf" Type="http://schemas.openxmlformats.org/officeDocument/2006/relationships/hyperlink" Id="rId22"/>
    <Relationship TargetMode="External" Target="https://www.legis.iowa.gov/docs/ico/chapter/272D.8.pdf" Type="http://schemas.openxmlformats.org/officeDocument/2006/relationships/hyperlink" Id="rId23"/>
    <Relationship TargetMode="External" Target="https://www.legis.iowa.gov/docs/ico/chapter/272D.9.pdf" Type="http://schemas.openxmlformats.org/officeDocument/2006/relationships/hyperlink" Id="rId24"/>
    <Relationship TargetMode="External" Target="https://www.legis.iowa.gov/docs/ico/chapter/169.pdf" Type="http://schemas.openxmlformats.org/officeDocument/2006/relationships/hyperlink" Id="rId25"/>
    <Relationship TargetMode="External" Target="https://www.legis.iowa.gov/docs/ico/chapter/252J.pdf" Type="http://schemas.openxmlformats.org/officeDocument/2006/relationships/hyperlink" Id="rId26"/>
    <Relationship TargetMode="External" Target="https://www.legis.iowa.gov/docs/ico/chapter/272D.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