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STANDARDS OF PRACTICE</w:t>
      </w:r>
    </w:p>
    <w:p>
      <w:pPr>
        <w:spacing w:before="0" w:after="0"/>
        <w:ind w:left="120"/>
        <w:jc w:val="center"/>
      </w:pPr>
      <w:r>
        <w:rPr>
          <w:rFonts w:ascii="Times New Roman" w:hAnsi="Times New Roman"/>
          <w:b w:val="false"/>
          <w:i w:val="false"/>
          <w:color w:val="000000"/>
          <w:sz w:val="14"/>
        </w:rPr>
        <w:t>[Prior to 2/8/89, Veterinary Medicine, Board of[842]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811—12.1</w:t>
      </w:r>
      <w:r>
        <w:rPr>
          <w:rFonts w:ascii="Times New Roman" w:hAnsi="Times New Roman"/>
          <w:b/>
          <w:i w:val="false"/>
          <w:color w:val="000000"/>
          <w:sz w:val="22"/>
        </w:rPr>
        <w:t xml:space="preserve">(169) </w:t>
      </w:r>
      <w:r>
        <w:rPr>
          <w:rFonts w:ascii="Times New Roman" w:hAnsi="Times New Roman"/>
          <w:b/>
          <w:i w:val="false"/>
          <w:color w:val="000000"/>
          <w:sz w:val="22"/>
        </w:rPr>
        <w:t xml:space="preserve">Veterinarian/client/patient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The board shall determine, on a case-by-case basis, whether a valid veterinarian/client/patient relationship exists. This relationship is deemed to exist when all of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licensed veterinarian has assumed the responsibility for making medical judgments regarding the health of the patient and the need for medical treatment, and the client has agreed to follow the instructions of the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veterinarian has sufficient knowledge of the patient to initiate at least a general or preliminary diagnosis of the medical condition of the patient. Sufficient knowledge means that the licensed veterinarian has recently seen or is personally acquainted with the keeping and care of the patient by virtue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physical examination of the patient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professional visit within the past 12 months to the premises where the patient or representative patients are housed, kept, located or grazed;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veterinarian has been temporarily designated by a licensed veterinarian, who has a prior veterinarian/client/patient relationship, to provide reasonable and appropriate medical care. The veterinarian making the designation must meet the requirements of either subparagraph </w:t>
      </w:r>
      <w:hyperlink r:id="rId5">
        <w:r>
          <w:rPr>
            <w:rStyle w:val="Hyperlink"/>
            <w:rFonts w:ascii="Times New Roman" w:hAnsi="Times New Roman"/>
            <w:b w:val="false"/>
            <w:i w:val="false"/>
            <w:color w:val="000000"/>
            <w:sz w:val="22"/>
          </w:rPr>
          <w:t>12.1(1)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6">
        <w:r>
          <w:rPr>
            <w:rStyle w:val="Hyperlink"/>
            <w:rFonts w:ascii="Times New Roman" w:hAnsi="Times New Roman"/>
            <w:b w:val="false"/>
            <w:i w:val="false"/>
            <w:color w:val="000000"/>
            <w:sz w:val="22"/>
          </w:rPr>
          <w:t>12.1(1)</w:t>
        </w:r>
      </w:hyperlink>
      <w:r>
        <w:rPr>
          <w:rFonts w:ascii="Times New Roman" w:hAnsi="Times New Roman"/>
          <w:b w:val="false"/>
          <w:i/>
          <w:color w:val="000000"/>
          <w:sz w:val="22"/>
        </w:rPr>
        <w:t>“b”</w:t>
      </w:r>
      <w:r>
        <w:rPr>
          <w:rFonts w:ascii="Times New Roman" w:hAnsi="Times New Roman"/>
          <w:b w:val="false"/>
          <w:i w:val="false"/>
          <w:color w:val="000000"/>
          <w:sz w:val="22"/>
        </w:rPr>
        <w:t>(2), and the designated veterinarian must have access to the patient’s medical records.</w:t>
      </w:r>
    </w:p>
    <w:p>
      <w:pPr>
        <w:spacing w:before="0" w:after="0"/>
        <w:ind w:left="120"/>
        <w:jc w:val="both"/>
      </w:pPr>
      <w:r>
        <w:rPr>
          <w:rFonts w:ascii="Times New Roman" w:hAnsi="Times New Roman"/>
          <w:b w:val="false"/>
          <w:i w:val="false"/>
          <w:color w:val="000000"/>
          <w:sz w:val="22"/>
        </w:rPr>
        <w:t xml:space="preserve">The 12-month time period in paragraph </w:t>
      </w:r>
      <w:hyperlink r:id="rId7">
        <w:r>
          <w:rPr>
            <w:rStyle w:val="Hyperlink"/>
            <w:rFonts w:ascii="Times New Roman" w:hAnsi="Times New Roman"/>
            <w:b w:val="false"/>
            <w:i w:val="false"/>
            <w:color w:val="000000"/>
            <w:sz w:val="22"/>
          </w:rPr>
          <w:t>12.1(1)</w:t>
        </w:r>
      </w:hyperlink>
      <w:r>
        <w:rPr>
          <w:rFonts w:ascii="Times New Roman" w:hAnsi="Times New Roman"/>
          <w:b w:val="false"/>
          <w:i/>
          <w:color w:val="000000"/>
          <w:sz w:val="22"/>
        </w:rPr>
        <w:t>“b”</w:t>
      </w:r>
      <w:r>
        <w:rPr>
          <w:rFonts w:ascii="Times New Roman" w:hAnsi="Times New Roman"/>
          <w:b w:val="false"/>
          <w:i w:val="false"/>
          <w:color w:val="000000"/>
          <w:sz w:val="22"/>
        </w:rPr>
        <w:t xml:space="preserve"> does not apply until June 14,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veterinarian is readily available or provides for follow-up care in case of adverse reactions or failure of the regimen of therapy, or, if unavailable, has designated another available licensed veterinarian who has access to the patient’s records to provide reasonable and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A valid veterinarian/client/patient relationship cannot be established by contact solely based on a telephonic or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In the absence of a veterinarian/client/patient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Advice that is provided through electronic means can only be general and not specific to a particular animal or its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Advice and recommendations may be provided via veterinary telephonic or electronic communication in an emergency, but only until the animal can be examined in person by a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val="false"/>
          <w:color w:val="000000"/>
          <w:sz w:val="22"/>
        </w:rPr>
        <w:t>Both the licensed veterinarian and the client have the right to establish or decline a valid veterinarian/client/patient relationship. Once the licensed veterinarian and the client have agreed and entered into a relationship, and the licensed veterinarian has begun patient care, the licensed veterinarian cannot neglect the patient and must continue to provide professional services related to the patient’s injury or illness within the previously agreed limits. As subsequent needs and costs for patient care are identified, the licensed veterinarian and the client must confer and reach agreement on the continued care and responsibility for fees. If the informed client declines future care or declines to assume responsibility for the fees, the relationship may be terminated by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val="false"/>
          <w:color w:val="000000"/>
          <w:sz w:val="22"/>
        </w:rPr>
        <w:t>If no ongoing medical condition exists, a licensed veterinarian may terminate a valid veterinarian/client/patient relationship by notifying the client that the licensed veterinarian no longer wishes to serve that patient and client. However, if an ongoing medical or surgical condition exists, the patient should be referred to another licensed veterinarian for diagnosis, care and treatment and the former attending licensed veterinarian should continue to provide care as needed during the transition.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val="false"/>
          <w:color w:val="000000"/>
          <w:sz w:val="22"/>
        </w:rPr>
        <w:t>Concerns about licensed veterinarian or staff safety may result in immediate termination of the veterinarian/client/patient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val="false"/>
          <w:color w:val="000000"/>
          <w:sz w:val="22"/>
        </w:rPr>
        <w:t>In emergencies, a veterinarian has an ethical responsibility to provide essential services for an animal when necessary to save the animal’s life or relieve extreme suffering, subsequent to a client agreement (or until such agreement can be obtained when a client is not present or cannot be reached). Such emergency care may be limited to relieve extreme pain or suffering, or to stabilization of the patient for transport to another source of animal care or euthanasia when deemed necessary by the veterinarian. When a veterinarian cannot be available to provide services, the veterinarian should provide readily accessible information to assist a client in obtaining emergency services, consistent with the needs of the locality. In an emergency, if a veterinarian does not have the expertise or the necessary equipment and facilities to adequately diagnose or treat a patient, the veterinarian should advise the client that more qualified or specialized services are available elsewhere and offer to expedite referral to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val="false"/>
          <w:color w:val="000000"/>
          <w:sz w:val="22"/>
        </w:rPr>
        <w:t>A licensed veterinarian who in good faith engages in the practice of veterinary medicine by rendering or attempting to render emergency or urgent care to a patient when a client cannot be identified, and a veterinarian/client/patient relationship is not established, is not subject to discipline based solely on the veterinarian’s inability to establish a veterinarian/client/patient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811—12.2</w:t>
      </w:r>
      <w:r>
        <w:rPr>
          <w:rFonts w:ascii="Times New Roman" w:hAnsi="Times New Roman"/>
          <w:b/>
          <w:i w:val="false"/>
          <w:color w:val="000000"/>
          <w:sz w:val="22"/>
        </w:rPr>
        <w:t xml:space="preserve">(169) </w:t>
      </w:r>
      <w:r>
        <w:rPr>
          <w:rFonts w:ascii="Times New Roman" w:hAnsi="Times New Roman"/>
          <w:b/>
          <w:i w:val="false"/>
          <w:color w:val="000000"/>
          <w:sz w:val="22"/>
        </w:rPr>
        <w:t xml:space="preserve">Controlled substances, drugs, prescription medications and specific restricted immunization products. </w:t>
      </w:r>
      <w:r>
        <w:rPr>
          <w:rFonts w:ascii="Times New Roman" w:hAnsi="Times New Roman"/>
          <w:b w:val="false"/>
          <w:i w:val="false"/>
          <w:color w:val="000000"/>
          <w:sz w:val="22"/>
        </w:rPr>
        <w:t>When state or federal law restricts a drug, medication or immunization product intended for use by or on the order of a licensed veterinarian, the licensed veterinarian can only sell, distribute or order the drug or medication in the course of the licensed veterinarian’s professional practice. A prescription veterinary drug, medication or immunization product shall not be deemed to be used “in the course of the licensed veterinarian’s professional practice” unless a valid veterinarian/client/patient relationship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Orders for all such drugs, medications or immunization products shall be accompanied by the licensed veterinarian’s original prescription that shows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veterinarian’s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Client’s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name or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 medication or product name, strength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Number of times the prescription may be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Expiration date of the drug, medication or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Applicable withdrawal period (paragraph </w:t>
      </w:r>
      <w:hyperlink r:id="rId8">
        <w:r>
          <w:rPr>
            <w:rStyle w:val="Hyperlink"/>
            <w:rFonts w:ascii="Times New Roman" w:hAnsi="Times New Roman"/>
            <w:b w:val="false"/>
            <w:i w:val="false"/>
            <w:color w:val="000000"/>
            <w:sz w:val="22"/>
          </w:rPr>
          <w:t>12.2(2)</w:t>
        </w:r>
      </w:hyperlink>
      <w:r>
        <w:rPr>
          <w:rFonts w:ascii="Times New Roman" w:hAnsi="Times New Roman"/>
          <w:b w:val="false"/>
          <w:i/>
          <w:color w:val="000000"/>
          <w:sz w:val="22"/>
        </w:rPr>
        <w:t>“d”</w:t>
      </w:r>
      <w:r>
        <w:rPr>
          <w:rFonts w:ascii="Times New Roman" w:hAnsi="Times New Roman"/>
          <w:b w:val="false"/>
          <w:i w:val="false"/>
          <w:color w:val="000000"/>
          <w:sz w:val="22"/>
        </w:rPr>
        <w:t>) for livestock and poultry.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Extra-label use of veterinary drugs, medications and immunization products. </w:t>
      </w:r>
      <w:r>
        <w:rPr>
          <w:rFonts w:ascii="Times New Roman" w:hAnsi="Times New Roman"/>
          <w:b w:val="false"/>
          <w:i w:val="false"/>
          <w:color w:val="000000"/>
          <w:sz w:val="22"/>
        </w:rPr>
        <w:t>Any extra-label use of veterinary drugs, medications or immunization products can only be administered by or under the order of a licensed veterinarian and is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valid veterinarian/client/patient relationship as defined in </w:t>
      </w:r>
      <w:hyperlink r:id="rId9">
        <w:r>
          <w:rPr>
            <w:rStyle w:val="Hyperlink"/>
            <w:rFonts w:ascii="Times New Roman" w:hAnsi="Times New Roman"/>
            <w:b w:val="false"/>
            <w:i w:val="false"/>
            <w:color w:val="000000"/>
            <w:sz w:val="22"/>
          </w:rPr>
          <w:t>subrule 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drugs or medications used in patients not intended for food,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are no marketed drugs, medications or immunization products specifically labeled for the condition(s) diagnosed;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approved product is clinically ineffective;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licensed veterinarian’s clinical judgment, the labeled dosage is inappropriate for the condition or the extra-label use should result in a better outcome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of the treated patient is immediately threatened, or suffering or death would result from a failure to treat the affected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appropriate withdrawal period is specified when the drugs, medications or immunization products are used in animals intended as food. Extra-label drug use in food-producing animals must follow Food and Drug Administration—Animal Medicinal Drug Use Clarification Act regulations (21 CFR Part 530 as amended through December 21, 2023). Licensed veterinarians are encouraged to consult the Food Animal Residue Avoidance Databank (FARAD) or public peer-reviewed documents when determining appropriate withdrawal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811—12.3</w:t>
      </w:r>
      <w:r>
        <w:rPr>
          <w:rFonts w:ascii="Times New Roman" w:hAnsi="Times New Roman"/>
          <w:b/>
          <w:i w:val="false"/>
          <w:color w:val="000000"/>
          <w:sz w:val="22"/>
        </w:rPr>
        <w:t xml:space="preserve">(169) </w:t>
      </w:r>
      <w:r>
        <w:rPr>
          <w:rFonts w:ascii="Times New Roman" w:hAnsi="Times New Roman"/>
          <w:b/>
          <w:i w:val="false"/>
          <w:color w:val="000000"/>
          <w:sz w:val="22"/>
        </w:rPr>
        <w:t xml:space="preserve">Prescription drug or medication labeling and packaging. </w:t>
      </w:r>
      <w:r>
        <w:rPr>
          <w:rFonts w:ascii="Times New Roman" w:hAnsi="Times New Roman"/>
          <w:b w:val="false"/>
          <w:i w:val="false"/>
          <w:color w:val="000000"/>
          <w:sz w:val="22"/>
        </w:rPr>
        <w:t>A licensed veterinarian shall comply with all of the following requirements for the storage, handling, dispensing and administering of a drug or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All prescription drugs, medications and controlled substances shall be purchased, maintained, handled, prescribed and dispensed in compliance with state and federal requirements including but not limited to the requirements of the Iowa board of pharmacy, the U.S. Occupational Safety and Health Administration, the U.S. Department of Agriculture, the U.S. Food and Drug Administration, the U.S. Environmental Protection Agency and the U.S.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valid veterinarian/client/patient relationship shall be established before prescription drugs or medications may be dispensed or a prescription released. All drugs or medications administered, prescribed or dispensed shall be documented in the patient’s medical record. The sale of veterinary prescription drugs or medications or the extra-label use of any drug, medication or product by a licensed veterinarian without a valid veterinarian/client/patient relationship is not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veterinarian prescribes a drug for the client’s animal, the veterinarian shall, upon request, provide the prescription to the client, unless barred by state or federal law or to prevent inappropriate use. The veterinarian may charge a fee for issuing the prescription. This paragraph does not apply to livestock as defined in Iowa Code section </w:t>
      </w:r>
      <w:hyperlink r:id="rId10">
        <w:r>
          <w:rPr>
            <w:rStyle w:val="Hyperlink"/>
            <w:rFonts w:ascii="Times New Roman" w:hAnsi="Times New Roman"/>
            <w:b w:val="false"/>
            <w:i w:val="false"/>
            <w:color w:val="000000"/>
            <w:sz w:val="22"/>
          </w:rPr>
          <w:t>717.1(4)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All drugs or medications dispensed shall be labeled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telephone number and address of the veterinary clinic, hospital or service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the prescribing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on which the prescription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Directions for use, including any cautionary statements and withdrawal times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Species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or identification, or location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strength and dosage form of the drug or medication. If the drug or medication is a compounded product, all active ingredients must be listed on the label, with corresponding strengths or concentrations of each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Number of units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Expiration date. If the drug or medication is a compounded product with no assigned expiration date, the licensed veterinarian shall determine a beyond-use date as supported by the literature or by the licensed veterinarian’s professional judgment when no such supportive information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Appropriate withdrawal period for livestock or poultry, when the patient or its product is intended as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 xml:space="preserve">All drugs or medications dispensed in the original container shall retain the original label and be labeled with the same information identified in subrule </w:t>
      </w:r>
      <w:hyperlink r:id="rId11">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All drugs or medications that are dispensed in a container other than the original container shall be placed in a tamper-resistant container unless otherwise requested by the owner or unless the drug or medication is in a form or size that cannot be easily dispensed in a tamper-resistant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val="false"/>
          <w:color w:val="000000"/>
          <w:sz w:val="22"/>
        </w:rPr>
        <w:t>Drugs or medications that have expired shall be removed from current inventory and cannot be dispensed or sold. Expired drugs or medications shall be disposed of in accordance with local,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val="false"/>
          <w:color w:val="000000"/>
          <w:sz w:val="22"/>
        </w:rPr>
        <w:t>Drugs or medications shall be dispensed only for specific animals and for specific veterinary medical therapies with the exception of groups of similar animals and other groups such as pet fish, kennels and catteries for which dispensing shall be done judiciously within a valid veterinarian/client/patient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811—12.4</w:t>
      </w:r>
      <w:r>
        <w:rPr>
          <w:rFonts w:ascii="Times New Roman" w:hAnsi="Times New Roman"/>
          <w:b/>
          <w:i w:val="false"/>
          <w:color w:val="000000"/>
          <w:sz w:val="22"/>
        </w:rPr>
        <w:t xml:space="preserve">(169) </w:t>
      </w:r>
      <w:r>
        <w:rPr>
          <w:rFonts w:ascii="Times New Roman" w:hAnsi="Times New Roman"/>
          <w:b/>
          <w:i w:val="false"/>
          <w:color w:val="000000"/>
          <w:sz w:val="22"/>
        </w:rPr>
        <w:t xml:space="preserve">Veterinary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records. </w:t>
      </w:r>
      <w:r>
        <w:rPr>
          <w:rFonts w:ascii="Times New Roman" w:hAnsi="Times New Roman"/>
          <w:b w:val="false"/>
          <w:i w:val="false"/>
          <w:color w:val="000000"/>
          <w:sz w:val="22"/>
        </w:rPr>
        <w:t>The licensed veterinarian must maintain a controlled substance log that contains complete, accurate and readily retrievable records of all controlled substances possessed, administered or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record of a controlled substance that is dispensed must meet all U.S. Drug Enforcement Administration and Iowa board of pharmacy regulations for the controlled substances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log record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or identification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Client’s name and address, if not readily available from the licensed veterinarian’s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strength and quantity of the controlled substance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on which the controlled substance was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Initials of the dispensing licensed veterinarian or authorized auxiliary.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of the prescribing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controlled substances must be kept in a locked storage area, and access to the storage area must be limited pursuant to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package or container in which a controlled substance is stored or dispensed must be clearly labeled pursuant to the requirements set forth in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package or container in which a controlled substance is stored or dispensed must comply with all state and federal packaging requirements and with rule </w:t>
      </w:r>
      <w:hyperlink r:id="rId12">
        <w:r>
          <w:rPr>
            <w:rStyle w:val="Hyperlink"/>
            <w:rFonts w:ascii="Times New Roman" w:hAnsi="Times New Roman"/>
            <w:b w:val="false"/>
            <w:i w:val="false"/>
            <w:color w:val="000000"/>
            <w:sz w:val="22"/>
          </w:rPr>
          <w:t>811—12.2</w:t>
        </w:r>
      </w:hyperlink>
      <w:r>
        <w:rPr>
          <w:rFonts w:ascii="Times New Roman" w:hAnsi="Times New Roman"/>
          <w:b w:val="false"/>
          <w:i w:val="false"/>
          <w:color w:val="000000"/>
          <w:sz w:val="22"/>
        </w:rPr>
        <w:t>(169).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Patient records. </w:t>
      </w:r>
      <w:r>
        <w:rPr>
          <w:rFonts w:ascii="Times New Roman" w:hAnsi="Times New Roman"/>
          <w:b w:val="false"/>
          <w:i w:val="false"/>
          <w:color w:val="000000"/>
          <w:sz w:val="22"/>
        </w:rPr>
        <w:t>Patient records are the property of the veterinary practice. Each licensed veterinarian shall maintain for at least five years an easily retrievable record for each patient that receives veterinary services. The record must be available for inspection by the client during normal business hours. The information within patient records is privileged and confidential and cannot be released except by court order, a public health emergency, consent of the client or as otherwise authorized by law. The licensed veterinarian in charge shall provide a copy of the complete record to the client not later than two business days after the licensed veterinarian or practice receives from the client a request for the record. A licensed veterinarian or veterinary practice may have an additional three business days to provide a copy of nondigital diagnostic images. The licensed veterinarian may charge reasonable and customary fees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for patients defined as “livestock” in Iowa Code section </w:t>
      </w:r>
      <w:hyperlink r:id="rId13">
        <w:r>
          <w:rPr>
            <w:rStyle w:val="Hyperlink"/>
            <w:rFonts w:ascii="Times New Roman" w:hAnsi="Times New Roman"/>
            <w:b w:val="false"/>
            <w:i w:val="false"/>
            <w:color w:val="000000"/>
            <w:sz w:val="22"/>
          </w:rPr>
          <w:t>717.1(4)</w:t>
        </w:r>
      </w:hyperlink>
      <w:r>
        <w:rPr>
          <w:rFonts w:ascii="Times New Roman" w:hAnsi="Times New Roman"/>
          <w:b w:val="false"/>
          <w:i w:val="false"/>
          <w:color w:val="000000"/>
          <w:sz w:val="22"/>
        </w:rPr>
        <w:t xml:space="preserv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or identity of the patient, pen, herd, flock or group, including the identification number,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Diagnosis or condition at the beginning of treatment of the patient, including results of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of drug or medication and treatment administered indicating dosage, frequency and route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Withdrawal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Record of diagnostic images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Name of attending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required for other patients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identity of the patient, including the identification number,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birth (or estimated age), sex, species and breed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Dates of care, custody or treatment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history of the patient’s condition as it pertains to the patient’s medical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Diagnosis or condition at the beginning of treatment of the patient, including results of tests and body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Surgery record, including preanesthesia medication, anesthesia and the procedure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of drug or medication and treatment administered indicating dosage, frequency and route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Progress and disposition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Record of diagnostic images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Name of attending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Stored diagnostic images.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stored diagnostic image must be identified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licensed veterinarian or facility that took the diagnostic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or identifying number, or both,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on which the diagnostic image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anatomical orientation depicted by the diagnostic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Stored diagnostic images must be retained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stored diagnostic image of the patient or a copy must be released, upon the written or verbal request, to another licensed veterinarian who has the authorization of the client. Original diagnostic images shall be returned 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General anesthesia. </w:t>
      </w:r>
      <w:r>
        <w:rPr>
          <w:rFonts w:ascii="Times New Roman" w:hAnsi="Times New Roman"/>
          <w:b w:val="false"/>
          <w:i w:val="false"/>
          <w:color w:val="000000"/>
          <w:sz w:val="22"/>
        </w:rPr>
        <w:t>General anesthesia is a condition caused by the administration of a drug or combination of drugs sufficient to produce a state of unconsciousness or dissociation and blocked response to a given pain or alarming stimulus. The following standards relating to general anesthesia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12 hours prior to the administration of a general anesthetic, the patient must receive a physical examination, with the results noted in the patient’s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 under general anesthesia must be under observation for a length of time appropriate to the species for the patient’s safe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veterinarian must provide a method of respiratory monitoring that may include observing the patient’s chest movements, observing the rebreathing bag or using a respirometer.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licensed veterinarian must provide a method of cardiac monitoring, which may include the use of a stethoscope or electrocardiograph monitor.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811—12.5</w:t>
      </w:r>
      <w:r>
        <w:rPr>
          <w:rFonts w:ascii="Times New Roman" w:hAnsi="Times New Roman"/>
          <w:b/>
          <w:i w:val="false"/>
          <w:color w:val="000000"/>
          <w:sz w:val="22"/>
        </w:rPr>
        <w:t xml:space="preserve">(169) </w:t>
      </w:r>
      <w:r>
        <w:rPr>
          <w:rFonts w:ascii="Times New Roman" w:hAnsi="Times New Roman"/>
          <w:b/>
          <w:i w:val="false"/>
          <w:color w:val="000000"/>
          <w:sz w:val="22"/>
        </w:rPr>
        <w:t xml:space="preserve">Veterinary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Facility standards. </w:t>
      </w:r>
      <w:r>
        <w:rPr>
          <w:rFonts w:ascii="Times New Roman" w:hAnsi="Times New Roman"/>
          <w:b w:val="false"/>
          <w:i w:val="false"/>
          <w:color w:val="000000"/>
          <w:sz w:val="22"/>
        </w:rPr>
        <w:t>The following standards apply to all facilities used by a licensed veterinarian to provide veterinary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for treatment or hospitalization. </w:t>
      </w:r>
      <w:r>
        <w:rPr>
          <w:rFonts w:ascii="Times New Roman" w:hAnsi="Times New Roman"/>
          <w:b w:val="false"/>
          <w:i w:val="false"/>
          <w:color w:val="000000"/>
          <w:sz w:val="22"/>
        </w:rPr>
        <w:t>In a facility where patients are examined and retained for treatment or hospitalization, the following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examination room, separate from the reception room or office, with sufficient size to accommodate the licensed veterinarian, assistant, patient and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Nonporous tabletops, countertops and floor coverings that can be adequately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ability to house patients separately and maintain sanitary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Appropriate separation of patients with known or suspected infectious and contagious diseases from patients not known to have such diseases in a manner that reasonably guards against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for daily exercise of patients unless the primary enclosure is of sufficient size to provide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Exercise areas that are cleaned a minimum of once in each 24-hour period and more frequently as may be necessary to reduce disease hazards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sanitary area for performing surgeries under sterile conditions. If sterile surgical procedures are performed on the premises, the licensed veterinarian must maintain the following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sterile surgical packs including drapes, sponges and instrumentation for use in each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sterile surgical procedure, equipment sterilized and surgical packs properly prepared for sterilization sufficient to kill microorganisms.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Clean attire, masks and gloves for use in any sterile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Oxygen and equipment necessary to administer oxygen to the types of patients treated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Capability to provide diagnostic radiological images in the facility or through an outside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Provision for laboratory and pharmaceutical services in the facility or through another commercial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Facilities for services. </w:t>
      </w:r>
      <w:r>
        <w:rPr>
          <w:rFonts w:ascii="Times New Roman" w:hAnsi="Times New Roman"/>
          <w:b w:val="false"/>
          <w:i w:val="false"/>
          <w:color w:val="000000"/>
          <w:sz w:val="22"/>
        </w:rPr>
        <w:t>Veterinary service facilities where patients are only examined or provided vaccinations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examination room, separate from the reception room or office, with sufficient size to accommodate the licensed veterinarian, assistant, patient and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Nonporous tabletops, countertops and floor coverings that can be adequately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secure and sanitary area for the storage of instruments, drugs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Cooling/heating equipment for the storage of drugs, medications and immunization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Capability to provide diagnostic radiological images in the facility or through an outside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Provision for laboratory and pharmaceutical services in the facility or through another commercial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Mobile clinics. </w:t>
      </w:r>
      <w:r>
        <w:rPr>
          <w:rFonts w:ascii="Times New Roman" w:hAnsi="Times New Roman"/>
          <w:b w:val="false"/>
          <w:i w:val="false"/>
          <w:color w:val="000000"/>
          <w:sz w:val="22"/>
        </w:rPr>
        <w:t>Mobile clinics are self-contained units for small animal, nonlivestock or nonpoultry patients and shall be equipped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Hot and cold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Nonporous tabletops, countertops and floor coverings that can be adequately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adequate power source for diagnostic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collecting tank for disposal of waste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Adequate heating, cooling and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Sterile instrumentation that meets the requirements of the level of surgery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Separate compartments for the transportation or holding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secure and sanitary area for the storage of instruments, drugs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Cooling/heating equipment for the storage of drugs, medications and immunization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House/farm call units. </w:t>
      </w:r>
      <w:r>
        <w:rPr>
          <w:rFonts w:ascii="Times New Roman" w:hAnsi="Times New Roman"/>
          <w:b w:val="false"/>
          <w:i w:val="false"/>
          <w:color w:val="000000"/>
          <w:sz w:val="22"/>
        </w:rPr>
        <w:t>House/farm call units are not self-contained units and must be equipped with or have access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Cooling/heating equipment for the storage of drugs, medications and immunization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secure and sanitary area for the storage of instruments, drugs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Emergency veterinary hospitals. </w:t>
      </w:r>
      <w:r>
        <w:rPr>
          <w:rFonts w:ascii="Times New Roman" w:hAnsi="Times New Roman"/>
          <w:b w:val="false"/>
          <w:i w:val="false"/>
          <w:color w:val="000000"/>
          <w:sz w:val="22"/>
        </w:rPr>
        <w:t>“Emergency veterinary hospital” means an animal hospital that provides emergency treatment to an ill or injured patient. Any facility advertising as an emergency facility shall have a licensed veterinarian and auxiliary personnel on the premises during the hours of operation. Any facility that advertises using phrases similar or identical to “24-hour emergency veterinary hospital,” “Emergency,” “Open 24 hours” or “Day or night care” must have treatment services continuously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Safety and sanitation standards. </w:t>
      </w:r>
      <w:r>
        <w:rPr>
          <w:rFonts w:ascii="Times New Roman" w:hAnsi="Times New Roman"/>
          <w:b w:val="false"/>
          <w:i w:val="false"/>
          <w:color w:val="000000"/>
          <w:sz w:val="22"/>
        </w:rPr>
        <w:t>A veterinary facility must have a safe and sanitary environment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Protects the health of the patients and guards against the transmission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for proper routine disposal of waste materials in compliance with all applicable local, state, and federal laws and regulations and for proper disposal of hypodermic devices, sharps and biomedical waste. Hypodermic devices, sharps and biomedical waste shall be disposed of in accordance with applicable local,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for proper sterilization or sanitation of all equipment used in diagnosis, treatment 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Ensures the maintenance of proper temperature and ventilation of the indoor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adequate lighting appropriate for the task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Includes legal and sanitary methods for the disposal or storage of deceased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Meets the standards for radiological procedures as set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A library of current journals or textbooks, or Internet access that provides readily accessible reference materials, shall be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9/21/84, Notice 8/15/84—published 10/10/84, effective 11/14/84]</w:t>
      </w:r>
    </w:p>
    <w:p>
      <w:pPr>
        <w:spacing w:before="0" w:after="0"/>
        <w:ind w:left="120"/>
        <w:jc w:val="center"/>
      </w:pPr>
      <w:r>
        <w:rPr>
          <w:rFonts w:ascii="Times New Roman" w:hAnsi="Times New Roman"/>
          <w:b w:val="false"/>
          <w:i w:val="false"/>
          <w:color w:val="000000"/>
          <w:sz w:val="21"/>
        </w:rPr>
        <w:t>[Filed emergency 9/4/85—published 9/25/85, effective 9/4/85]</w:t>
      </w:r>
    </w:p>
    <w:p>
      <w:pPr>
        <w:spacing w:before="0" w:after="0"/>
        <w:ind w:left="120"/>
        <w:jc w:val="center"/>
      </w:pPr>
      <w:r>
        <w:rPr>
          <w:rFonts w:ascii="Times New Roman" w:hAnsi="Times New Roman"/>
          <w:b w:val="false"/>
          <w:i w:val="false"/>
          <w:color w:val="000000"/>
          <w:sz w:val="21"/>
        </w:rPr>
        <w:t>[Filed 11/1/85, Notice 9/25/85—published 11/20/85, effective 12/25/85]</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1465C</w:t>
      </w:r>
      <w:r>
        <w:rPr>
          <w:rFonts w:ascii="Times New Roman" w:hAnsi="Times New Roman"/>
          <w:b w:val="false"/>
          <w:i w:val="false"/>
          <w:color w:val="000000"/>
          <w:sz w:val="21"/>
        </w:rPr>
        <w:t xml:space="preserve"> (Notice ARC 1377C, IAB 3/19/14)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5485C</w:t>
      </w:r>
      <w:r>
        <w:rPr>
          <w:rFonts w:ascii="Times New Roman" w:hAnsi="Times New Roman"/>
          <w:b w:val="false"/>
          <w:i w:val="false"/>
          <w:color w:val="000000"/>
          <w:sz w:val="21"/>
        </w:rPr>
        <w:t xml:space="preserve"> (Notice ARC 5297C, IAB 12/2/20)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5640C</w:t>
      </w:r>
      <w:r>
        <w:rPr>
          <w:rFonts w:ascii="Times New Roman" w:hAnsi="Times New Roman"/>
          <w:b w:val="false"/>
          <w:i w:val="false"/>
          <w:color w:val="000000"/>
          <w:sz w:val="21"/>
        </w:rPr>
        <w:t xml:space="preserve"> (Notice ARC 5431C, IAB 2/10/21)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6171C</w:t>
      </w:r>
      <w:r>
        <w:rPr>
          <w:rFonts w:ascii="Times New Roman" w:hAnsi="Times New Roman"/>
          <w:b w:val="false"/>
          <w:i w:val="false"/>
          <w:color w:val="000000"/>
          <w:sz w:val="21"/>
        </w:rPr>
        <w:t xml:space="preserve"> (Notice ARC 5848C, IAB 8/11/21)</w:t>
      </w:r>
      <w:r>
        <w:rPr>
          <w:rFonts w:ascii="Times New Roman" w:hAnsi="Times New Roman"/>
          <w:b w:val="false"/>
          <w:i w:val="false"/>
          <w:color w:val="000000"/>
          <w:sz w:val="21"/>
        </w:rPr>
        <w:t>, IAB 2/9/22, effective 4/1/22]</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Emergency ARC 6397C, IAB 7/13/22, effective 6/14/22]</w:t>
      </w:r>
    </w:p>
    <w:p>
      <w:pPr>
        <w:spacing w:before="0" w:after="0"/>
        <w:ind w:left="120"/>
        <w:jc w:val="center"/>
      </w:pPr>
      <w:r>
        <w:rPr>
          <w:rFonts w:ascii="Times New Roman" w:hAnsi="Times New Roman"/>
          <w:b w:val="false"/>
          <w:i w:val="false"/>
          <w:color w:val="000000"/>
          <w:sz w:val="21"/>
        </w:rPr>
        <w:t>[Filed ARC 6523C</w:t>
      </w:r>
      <w:r>
        <w:rPr>
          <w:rFonts w:ascii="Times New Roman" w:hAnsi="Times New Roman"/>
          <w:b w:val="false"/>
          <w:i w:val="false"/>
          <w:color w:val="000000"/>
          <w:sz w:val="21"/>
        </w:rPr>
        <w:t xml:space="preserve"> (Notice ARC 6403C, IAB 7/13/22)</w:t>
      </w:r>
      <w:r>
        <w:rPr>
          <w:rFonts w:ascii="Times New Roman" w:hAnsi="Times New Roman"/>
          <w:b w:val="false"/>
          <w:i w:val="false"/>
          <w:color w:val="000000"/>
          <w:sz w:val="21"/>
        </w:rPr>
        <w:t>, IAB 9/21/22, effective 10/26/22]</w:t>
      </w:r>
    </w:p>
    <w:p>
      <w:pPr>
        <w:spacing w:before="0" w:after="0"/>
        <w:ind w:left="120"/>
        <w:jc w:val="center"/>
      </w:pPr>
      <w:r>
        <w:rPr>
          <w:rFonts w:ascii="Times New Roman" w:hAnsi="Times New Roman"/>
          <w:b w:val="false"/>
          <w:i w:val="false"/>
          <w:color w:val="000000"/>
          <w:sz w:val="21"/>
        </w:rPr>
        <w:t>[Filed ARC 8021C</w:t>
      </w:r>
      <w:r>
        <w:rPr>
          <w:rFonts w:ascii="Times New Roman" w:hAnsi="Times New Roman"/>
          <w:b w:val="false"/>
          <w:i w:val="false"/>
          <w:color w:val="000000"/>
          <w:sz w:val="21"/>
        </w:rPr>
        <w:t xml:space="preserve"> (Notice ARC 7567C, IAB 1/24/24)</w:t>
      </w:r>
      <w:r>
        <w:rPr>
          <w:rFonts w:ascii="Times New Roman" w:hAnsi="Times New Roman"/>
          <w:b w:val="false"/>
          <w:i w:val="false"/>
          <w:color w:val="000000"/>
          <w:sz w:val="21"/>
        </w:rPr>
        <w:t>, IAB 5/15/24, effective 7/1/24]</w:t>
      </w:r>
    </w:p>
    <w:p>
      <w:pPr>
        <w:pBdr>
          <w:bottom w:space="2"/>
        </w:pBdr>
        <w:spacing w:before="0" w:after="0"/>
        <w:ind w:left="120"/>
        <w:jc w:val="both"/>
      </w:pPr>
      <w:r>
        <w:rPr>
          <w:rFonts w:ascii="Times New Roman" w:hAnsi="Times New Roman"/>
          <w:b w:val="false"/>
          <w:i w:val="false"/>
          <w:color w:val="000000"/>
          <w:sz w:val="22"/>
        </w:rPr>
        <w:t>April 1, 2022, effective date of amendment to 12.1(1)“b”</w:t>
      </w:r>
      <w:r>
        <w:rPr>
          <w:rFonts w:ascii="Times New Roman" w:hAnsi="Times New Roman"/>
          <w:b/>
          <w:i w:val="false"/>
          <w:color w:val="000000"/>
          <w:sz w:val="22"/>
        </w:rPr>
        <w:t>[ARC 6171C]</w:t>
      </w:r>
      <w:r>
        <w:rPr>
          <w:rFonts w:ascii="Times New Roman" w:hAnsi="Times New Roman"/>
          <w:b w:val="false"/>
          <w:i w:val="false"/>
          <w:color w:val="000000"/>
          <w:sz w:val="22"/>
        </w:rPr>
        <w:t xml:space="preserve"> delayed 70 days by the Administrative Rules Review Committee at its meeting held March 7, 2022.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11.12.1.pdf" Type="http://schemas.openxmlformats.org/officeDocument/2006/relationships/hyperlink" Id="rId5"/>
    <Relationship TargetMode="External" Target="https://www.legis.iowa.gov/docs/iac/rule/811.12.1.pdf" Type="http://schemas.openxmlformats.org/officeDocument/2006/relationships/hyperlink" Id="rId6"/>
    <Relationship TargetMode="External" Target="https://www.legis.iowa.gov/docs/iac/rule/811.12.1.pdf" Type="http://schemas.openxmlformats.org/officeDocument/2006/relationships/hyperlink" Id="rId7"/>
    <Relationship TargetMode="External" Target="https://www.legis.iowa.gov/docs/iac/rule/811.12.2.pdf" Type="http://schemas.openxmlformats.org/officeDocument/2006/relationships/hyperlink" Id="rId8"/>
    <Relationship TargetMode="External" Target="https://www.legis.iowa.gov/docs/iac/rule/811.12.1.pdf" Type="http://schemas.openxmlformats.org/officeDocument/2006/relationships/hyperlink" Id="rId9"/>
    <Relationship TargetMode="External" Target="https://www.legis.iowa.gov/docs/ico/chapter/717.1.pdf" Type="http://schemas.openxmlformats.org/officeDocument/2006/relationships/hyperlink" Id="rId10"/>
    <Relationship TargetMode="External" Target="https://www.legis.iowa.gov/docs/iac/rule/811.12.3.pdf" Type="http://schemas.openxmlformats.org/officeDocument/2006/relationships/hyperlink" Id="rId11"/>
    <Relationship TargetMode="External" Target="https://www.legis.iowa.gov/docs/iac/rule/811.12.2.pdf" Type="http://schemas.openxmlformats.org/officeDocument/2006/relationships/hyperlink" Id="rId12"/>
    <Relationship TargetMode="External" Target="https://www.legis.iowa.gov/docs/ico/chapter/717.1.pdf" Type="http://schemas.openxmlformats.org/officeDocument/2006/relationships/hyperlink" Id="rId13"/>
    <Relationship TargetMode="External" Target="https://www.legis.iowa.gov/docs/ico/chapter/169.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