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2/8/89, Veterinary Medicine, Board of(842)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811—11.1</w:t>
      </w:r>
      <w:r>
        <w:rPr>
          <w:rFonts w:ascii="Times New Roman" w:hAnsi="Times New Roman"/>
          <w:b/>
          <w:i w:val="false"/>
          <w:color w:val="000000"/>
          <w:sz w:val="22"/>
        </w:rPr>
        <w:t xml:space="preserve">(169) </w:t>
      </w:r>
      <w:r>
        <w:rPr>
          <w:rFonts w:ascii="Times New Roman" w:hAnsi="Times New Roman"/>
          <w:b/>
          <w:i w:val="false"/>
          <w:color w:val="000000"/>
          <w:sz w:val="22"/>
        </w:rPr>
        <w:t xml:space="preserve">Continuing education necessary for a veterinary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Within the last three licensing years, each licensee is to complete at least 60 hours of continuing education in courses approved by the board as a condition for license renewal. The licensee has financial responsibility for the cost of continuing education. These credit hours may be obtained by attending board-approved scientific or practice management seminars and meetings on the basis of one credit hour for each hour of attendance. Attendance at any approved national, state or regional meeting or RACE-approved meeting will be acceptable. One hour of credit may be approved for local meetings where a scientific paper is presented. Credit for qualified graduate college courses may be approved on the basis of multiplying each college credit hour by 10, to a maximum of 30 hours during any one triennial license period. A maximum of 30 hours during any one triennial license period of continuing education may be achieved by completion of approved distance education courses. A maximum of 20 hours of continuing education during any one triennial license period may be achieved by completion of approved practice management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To qualify for license renewal, each licensee is to obtain the 60 credit hours between July 1 of the year the license was issued and June 30 of the following third year. Continuing education credits in excess of 60 hours for any three-year license period may be carried over to the next triennial license period, but the total number of credit hours carried over cannot exceed 20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 recent graduate is exempt from meeting continuing education requirements at the time of original licensure and for the first year of practice. For the purpose of this rule, “recent graduate” means a person who has graduated from an accredited or approved school of veterinary medicine, or received a certificate from the ECFVG or PAVE no more than three years prior to application for licensure. If a recent graduate is licensed during the first year of the triennial license period, the licensee needs to complete 40 hours of continuing education for the first license renewal. If a recent graduate is licensed during the second year of the triennial license period, the licensee needs to complete 20 hours of continuing education for the first license renewal. If a recent graduate is licensed during the third year of the triennial license period, the licensee is exempt from meeting continuing education requirements for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Completion of the continuing education requirement will be reported to the secretary of the board, on a form provided by the board, at the time of license renewal. The form is to be signed by the licensee and be accompanied by renewal application and the proper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The board may waive continuing education requirements for qualifying military service personnel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811—11.2</w:t>
      </w:r>
      <w:r>
        <w:rPr>
          <w:rFonts w:ascii="Times New Roman" w:hAnsi="Times New Roman"/>
          <w:b/>
          <w:i w:val="false"/>
          <w:color w:val="000000"/>
          <w:sz w:val="22"/>
        </w:rPr>
        <w:t xml:space="preserve">(169) </w:t>
      </w:r>
      <w:r>
        <w:rPr>
          <w:rFonts w:ascii="Times New Roman" w:hAnsi="Times New Roman"/>
          <w:b/>
          <w:i w:val="false"/>
          <w:color w:val="000000"/>
          <w:sz w:val="22"/>
        </w:rPr>
        <w:t xml:space="preserve">Exemptions for an inactive veterinary licensee. </w:t>
      </w:r>
      <w:r>
        <w:rPr>
          <w:rFonts w:ascii="Times New Roman" w:hAnsi="Times New Roman"/>
          <w:b w:val="false"/>
          <w:i w:val="false"/>
          <w:color w:val="000000"/>
          <w:sz w:val="22"/>
        </w:rPr>
        <w:t>A licensee residing within or outside Iowa who is not engaged in practice in the state of Iowa may be granted a waiver of compliance and obtain a certificate of exemption upon paying the annual license renewal fee. The licensee is to provide a written application to the board that includes a statement that the applicant will not engage in the practice of veterinary medicine in Iowa without first complying with all the rules governing reactivation after exemption. The application for a certificate of exemption is to be submitted on a form provided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811—11.3</w:t>
      </w:r>
      <w:r>
        <w:rPr>
          <w:rFonts w:ascii="Times New Roman" w:hAnsi="Times New Roman"/>
          <w:b/>
          <w:i w:val="false"/>
          <w:color w:val="000000"/>
          <w:sz w:val="22"/>
        </w:rPr>
        <w:t xml:space="preserve">(169) </w:t>
      </w:r>
      <w:r>
        <w:rPr>
          <w:rFonts w:ascii="Times New Roman" w:hAnsi="Times New Roman"/>
          <w:b/>
          <w:i w:val="false"/>
          <w:color w:val="000000"/>
          <w:sz w:val="22"/>
        </w:rPr>
        <w:t xml:space="preserve">Reactivation of license. </w:t>
      </w:r>
      <w:r>
        <w:rPr>
          <w:rFonts w:ascii="Times New Roman" w:hAnsi="Times New Roman"/>
          <w:b w:val="false"/>
          <w:i w:val="false"/>
          <w:color w:val="000000"/>
          <w:sz w:val="22"/>
        </w:rPr>
        <w:t>A veterinarian whose license has lapsed or been placed on inactive status is to provide evidence of completion of a total number of hours of accredited continuing education computed by multiplying 20 by the number of years since the date of the last issuance of the license for which reactivation is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8/3/78, Notice 6/28/78—published 8/23/78, effective 9/28/78]</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1984C</w:t>
      </w:r>
      <w:r>
        <w:rPr>
          <w:rFonts w:ascii="Times New Roman" w:hAnsi="Times New Roman"/>
          <w:b w:val="false"/>
          <w:i w:val="false"/>
          <w:color w:val="000000"/>
          <w:sz w:val="21"/>
        </w:rPr>
        <w:t xml:space="preserve"> (Notice ARC 1756C,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8020C</w:t>
      </w:r>
      <w:r>
        <w:rPr>
          <w:rFonts w:ascii="Times New Roman" w:hAnsi="Times New Roman"/>
          <w:b w:val="false"/>
          <w:i w:val="false"/>
          <w:color w:val="000000"/>
          <w:sz w:val="21"/>
        </w:rPr>
        <w:t xml:space="preserve"> (Notice ARC 7566C,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pdf" Type="http://schemas.openxmlformats.org/officeDocument/2006/relationships/hyperlink" Id="rId5"/>
    <Relationship TargetMode="External" Target="https://www.legis.iowa.gov/docs/ico/chapter/27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