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 AND DEFINITIONS</w:t>
      </w:r>
    </w:p>
    <w:p>
      <w:pPr>
        <w:spacing w:before="0" w:after="0"/>
        <w:ind w:left="120"/>
        <w:jc w:val="center"/>
      </w:pPr>
      <w:r>
        <w:rPr>
          <w:rFonts w:ascii="Times New Roman" w:hAnsi="Times New Roman"/>
          <w:b w:val="false"/>
          <w:i w:val="false"/>
          <w:color w:val="000000"/>
          <w:sz w:val="14"/>
        </w:rPr>
        <w:t>[Prior to 2/8/89, Veterinary Medicine, Board of[842]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811—1.1</w:t>
      </w:r>
      <w:r>
        <w:rPr>
          <w:rFonts w:ascii="Times New Roman" w:hAnsi="Times New Roman"/>
          <w:b/>
          <w:i w:val="false"/>
          <w:color w:val="000000"/>
          <w:sz w:val="22"/>
        </w:rPr>
        <w:t xml:space="preserve">(17A,169)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 xml:space="preserve">The board of veterinary medicine has a membership as established in Iowa Code section </w:t>
      </w:r>
      <w:hyperlink r:id="rId5">
        <w:r>
          <w:rPr>
            <w:rStyle w:val="Hyperlink"/>
            <w:rFonts w:ascii="Times New Roman" w:hAnsi="Times New Roman"/>
            <w:b w:val="false"/>
            <w:i w:val="false"/>
            <w:color w:val="000000"/>
            <w:sz w:val="22"/>
          </w:rPr>
          <w:t>169.5(1)</w:t>
        </w:r>
      </w:hyperlink>
      <w:r>
        <w:rPr>
          <w:rFonts w:ascii="Times New Roman" w:hAnsi="Times New Roman"/>
          <w:b w:val="false"/>
          <w:i/>
          <w:color w:val="000000"/>
          <w:sz w:val="22"/>
        </w:rPr>
        <w:t>“a.”</w:t>
      </w:r>
      <w:r>
        <w:rPr>
          <w:rFonts w:ascii="Times New Roman" w:hAnsi="Times New Roman"/>
          <w:b w:val="false"/>
          <w:i w:val="false"/>
          <w:color w:val="000000"/>
          <w:sz w:val="22"/>
        </w:rPr>
        <w:t xml:space="preserve"> One public member may be a graduate of an accredited veterinary technology program and hold a certificate of registration. The state veterinarian serves as secretary. The board may administer examinations to applicants for a license or temporary permit to practice veterinary medicine and to applicants for licenses or certificates for auxiliary personnel. The board investigates and disciplines, as necessary, persons for whom credentials have been issued or who are engaged in an activity regulated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811—1.2</w:t>
      </w:r>
      <w:r>
        <w:rPr>
          <w:rFonts w:ascii="Times New Roman" w:hAnsi="Times New Roman"/>
          <w:b/>
          <w:i w:val="false"/>
          <w:color w:val="000000"/>
          <w:sz w:val="22"/>
        </w:rPr>
        <w:t xml:space="preserve">(17A,169) </w:t>
      </w:r>
      <w:r>
        <w:rPr>
          <w:rFonts w:ascii="Times New Roman" w:hAnsi="Times New Roman"/>
          <w:b/>
          <w:i w:val="false"/>
          <w:color w:val="000000"/>
          <w:sz w:val="22"/>
        </w:rPr>
        <w:t xml:space="preserve">Headquarters of the board. </w:t>
      </w:r>
      <w:r>
        <w:rPr>
          <w:rFonts w:ascii="Times New Roman" w:hAnsi="Times New Roman"/>
          <w:b w:val="false"/>
          <w:i w:val="false"/>
          <w:color w:val="000000"/>
          <w:sz w:val="22"/>
        </w:rPr>
        <w:t>The official mailing address of the board is: Iowa Board of Veterinary Medicine, Iowa Department of Agriculture and Land Stewardship, Wallace State Office Building, 502 E. 9th Street, Des Moines, Iowa 50319-0053.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811—1.3</w:t>
      </w:r>
      <w:r>
        <w:rPr>
          <w:rFonts w:ascii="Times New Roman" w:hAnsi="Times New Roman"/>
          <w:b/>
          <w:i w:val="false"/>
          <w:color w:val="000000"/>
          <w:sz w:val="22"/>
        </w:rPr>
        <w:t xml:space="preserve">(17A,169) </w:t>
      </w:r>
      <w:r>
        <w:rPr>
          <w:rFonts w:ascii="Times New Roman" w:hAnsi="Times New Roman"/>
          <w:b/>
          <w:i w:val="false"/>
          <w:color w:val="000000"/>
          <w:sz w:val="22"/>
        </w:rPr>
        <w:t xml:space="preserve">Meetings. </w:t>
      </w:r>
      <w:r>
        <w:rPr>
          <w:rFonts w:ascii="Times New Roman" w:hAnsi="Times New Roman"/>
          <w:b w:val="false"/>
          <w:i w:val="false"/>
          <w:color w:val="000000"/>
          <w:sz w:val="22"/>
        </w:rPr>
        <w:t>The board meets once a year at its headquarters and may hold additional meetings as necessary for the purpose of administering examinations and conducting its duties. The organizational meeting is the first board meeting of the fiscal year. The fiscal year begins July 1. Three members constitute a quorum authorized to act in the name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w:t>
      </w:r>
      <w:r>
        <w:rPr>
          <w:rFonts w:ascii="Times New Roman" w:hAnsi="Times New Roman"/>
          <w:b/>
          <w:i w:val="false"/>
          <w:color w:val="000000"/>
          <w:sz w:val="22"/>
        </w:rPr>
        <w:t xml:space="preserve">(17A,169)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 rules of the board, unless the context otherwise entails: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“AAVSB” </w:t>
      </w:r>
      <w:r>
        <w:rPr>
          <w:rFonts w:ascii="Times New Roman" w:hAnsi="Times New Roman"/>
          <w:b w:val="false"/>
          <w:i w:val="false"/>
          <w:color w:val="000000"/>
          <w:sz w:val="22"/>
        </w:rPr>
        <w:t>means the American Association of Veterinary State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“AVMA” </w:t>
      </w:r>
      <w:r>
        <w:rPr>
          <w:rFonts w:ascii="Times New Roman" w:hAnsi="Times New Roman"/>
          <w:b w:val="false"/>
          <w:i w:val="false"/>
          <w:color w:val="000000"/>
          <w:sz w:val="22"/>
        </w:rPr>
        <w:t>means the American Veterinary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“AVMA-accredited” </w:t>
      </w:r>
      <w:r>
        <w:rPr>
          <w:rFonts w:ascii="Times New Roman" w:hAnsi="Times New Roman"/>
          <w:b w:val="false"/>
          <w:i w:val="false"/>
          <w:color w:val="000000"/>
          <w:sz w:val="22"/>
        </w:rPr>
        <w:t>means colleges in the United States and foreign colleges evaluated by the AVMA Council on Education and found to meet accreditation standards as published.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“AVMA-listed” </w:t>
      </w:r>
      <w:r>
        <w:rPr>
          <w:rFonts w:ascii="Times New Roman" w:hAnsi="Times New Roman"/>
          <w:b w:val="false"/>
          <w:i w:val="false"/>
          <w:color w:val="000000"/>
          <w:sz w:val="22"/>
        </w:rPr>
        <w:t>means a foreign college recognized by the World Health Organization or the government of its own country whose graduates are eligible to practice veterinary medicine in that country and whose graduates may qualify for entrance in the ECFVG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169.3(4)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registration” </w:t>
      </w:r>
      <w:r>
        <w:rPr>
          <w:rFonts w:ascii="Times New Roman" w:hAnsi="Times New Roman"/>
          <w:b w:val="false"/>
          <w:i w:val="false"/>
          <w:color w:val="000000"/>
          <w:sz w:val="22"/>
        </w:rPr>
        <w:t xml:space="preserve">means a certificate issued by the board to a veterinary technician who has met the requirements of Iowa Code section </w:t>
      </w:r>
      <w:hyperlink r:id="rId7">
        <w:r>
          <w:rPr>
            <w:rStyle w:val="Hyperlink"/>
            <w:rFonts w:ascii="Times New Roman" w:hAnsi="Times New Roman"/>
            <w:b w:val="false"/>
            <w:i w:val="false"/>
            <w:color w:val="000000"/>
            <w:sz w:val="22"/>
          </w:rPr>
          <w:t>169.34</w:t>
        </w:r>
      </w:hyperlink>
      <w:r>
        <w:rPr>
          <w:rFonts w:ascii="Times New Roman" w:hAnsi="Times New Roman"/>
          <w:b w:val="false"/>
          <w:i w:val="false"/>
          <w:color w:val="000000"/>
          <w:sz w:val="22"/>
        </w:rPr>
        <w:t xml:space="preserve"> and rule 811—</w:t>
      </w:r>
      <w:hyperlink r:id="rId8">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(169) to perform authorized veterinary medical services to an animal patient under the supervision of a supervising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“Classroom” </w:t>
      </w:r>
      <w:r>
        <w:rPr>
          <w:rFonts w:ascii="Times New Roman" w:hAnsi="Times New Roman"/>
          <w:b w:val="false"/>
          <w:i w:val="false"/>
          <w:color w:val="000000"/>
          <w:sz w:val="22"/>
        </w:rPr>
        <w:t>means any location where veterinary students are present and educational or research activities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the patient’s owner, owner’s designee, or other person responsible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consent” </w:t>
      </w:r>
      <w:r>
        <w:rPr>
          <w:rFonts w:ascii="Times New Roman" w:hAnsi="Times New Roman"/>
          <w:b w:val="false"/>
          <w:i w:val="false"/>
          <w:color w:val="000000"/>
          <w:sz w:val="22"/>
        </w:rPr>
        <w:t>means that the licensed veterinarian has informed the client of the reasonable and usual diagnostic and treatment options available and provides an assessment of the risks and benefits of such choices, the prognosis and an estimate of the fees expected for the provision of services. The consent of the client shall be provided in verbal or written form prior to initiation of diagnostic and treatment procedures and documented in the medical record by the licensed veterinarian or veterinary auxiliary personnel. Consent is valid if it indicates that the client’s questions have been answered to the client’s satisfaction and that the client consents to the recommended treatments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 </w:t>
      </w:r>
      <w:r>
        <w:rPr>
          <w:rFonts w:ascii="Times New Roman" w:hAnsi="Times New Roman"/>
          <w:b w:val="false"/>
          <w:i w:val="false"/>
          <w:color w:val="000000"/>
          <w:sz w:val="22"/>
        </w:rPr>
        <w:t>means, as applicable, a certificate, license, or permit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 holder” </w:t>
      </w:r>
      <w:r>
        <w:rPr>
          <w:rFonts w:ascii="Times New Roman" w:hAnsi="Times New Roman"/>
          <w:b w:val="false"/>
          <w:i w:val="false"/>
          <w:color w:val="000000"/>
          <w:sz w:val="22"/>
        </w:rPr>
        <w:t>means a person who holds a certificate, license, or permit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“ECFVG” </w:t>
      </w:r>
      <w:r>
        <w:rPr>
          <w:rFonts w:ascii="Times New Roman" w:hAnsi="Times New Roman"/>
          <w:b w:val="false"/>
          <w:i w:val="false"/>
          <w:color w:val="000000"/>
          <w:sz w:val="22"/>
        </w:rPr>
        <w:t>means the Educational Commission for Foreign Veterinary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that an animal has been placed in a life-threatening condition and immediate treatment is necessary to sustain life or that death is imminent and action is necessary to relieve extreme pain or suffering.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“ICVA” </w:t>
      </w:r>
      <w:r>
        <w:rPr>
          <w:rFonts w:ascii="Times New Roman" w:hAnsi="Times New Roman"/>
          <w:b w:val="false"/>
          <w:i w:val="false"/>
          <w:color w:val="000000"/>
          <w:sz w:val="22"/>
        </w:rPr>
        <w:t>means the International Council for Veterinary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credential issued by the board that permits a person to practice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holding a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“NAVLE” </w:t>
      </w:r>
      <w:r>
        <w:rPr>
          <w:rFonts w:ascii="Times New Roman" w:hAnsi="Times New Roman"/>
          <w:b w:val="false"/>
          <w:i w:val="false"/>
          <w:color w:val="000000"/>
          <w:sz w:val="22"/>
        </w:rPr>
        <w:t>means the North American Veterinary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animal or group of animals examined or treated by a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“PAVE” </w:t>
      </w:r>
      <w:r>
        <w:rPr>
          <w:rFonts w:ascii="Times New Roman" w:hAnsi="Times New Roman"/>
          <w:b w:val="false"/>
          <w:i w:val="false"/>
          <w:color w:val="000000"/>
          <w:sz w:val="22"/>
        </w:rPr>
        <w:t>means the Program for the Assessment of Veterinary Education Equivalence.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 temporary educational permit or a temporary in-state practice permit issued by the board pursuant to rule </w:t>
      </w:r>
      <w:hyperlink r:id="rId9">
        <w:r>
          <w:rPr>
            <w:rStyle w:val="Hyperlink"/>
            <w:rFonts w:ascii="Times New Roman" w:hAnsi="Times New Roman"/>
            <w:b w:val="false"/>
            <w:i w:val="false"/>
            <w:color w:val="000000"/>
            <w:sz w:val="22"/>
          </w:rPr>
          <w:t>811—9.1</w:t>
        </w:r>
      </w:hyperlink>
      <w:r>
        <w:rPr>
          <w:rFonts w:ascii="Times New Roman" w:hAnsi="Times New Roman"/>
          <w:b w:val="false"/>
          <w:i w:val="false"/>
          <w:color w:val="000000"/>
          <w:sz w:val="22"/>
        </w:rPr>
        <w:t>(169).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holder” </w:t>
      </w:r>
      <w:r>
        <w:rPr>
          <w:rFonts w:ascii="Times New Roman" w:hAnsi="Times New Roman"/>
          <w:b w:val="false"/>
          <w:i w:val="false"/>
          <w:color w:val="000000"/>
          <w:sz w:val="22"/>
        </w:rPr>
        <w:t>means a person holding a permit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w:t>
      </w:r>
      <w:r>
        <w:rPr>
          <w:rFonts w:ascii="Times New Roman" w:hAnsi="Times New Roman"/>
          <w:b w:val="false"/>
          <w:i w:val="false"/>
          <w:color w:val="000000"/>
          <w:sz w:val="22"/>
        </w:rPr>
        <w:t>means a veterinarian is physically proximate, hands-on to the patient and subjectively and objectively evaluates the patient’s health status through the use of observation, auscultation, palpation, percussion or manipulations, or, for a group of patients, the veterinarian is physically proximate to the group of patients and has subjectively and objectively assessed a representative sample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means the land, buildings, enclosures, and facilities operated or owned by the client where the patient or representative patients are housed, kept, located, or grazed.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military service personnel” </w:t>
      </w:r>
      <w:r>
        <w:rPr>
          <w:rFonts w:ascii="Times New Roman" w:hAnsi="Times New Roman"/>
          <w:b w:val="false"/>
          <w:i w:val="false"/>
          <w:color w:val="000000"/>
          <w:sz w:val="22"/>
        </w:rPr>
        <w:t>means a person, or the spouse of that person, who is currently or who has been during the past 12 months on federal active duty, state active duty, or national guard duty and has provided sufficient documentation to the board concerning the service and, if applicable,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“RACE” </w:t>
      </w:r>
      <w:r>
        <w:rPr>
          <w:rFonts w:ascii="Times New Roman" w:hAnsi="Times New Roman"/>
          <w:b w:val="false"/>
          <w:i w:val="false"/>
          <w:color w:val="000000"/>
          <w:sz w:val="22"/>
        </w:rPr>
        <w:t>means the Registry of Approved Continuing Education, which is the national clearinghouse for approval of continuing education providers and their programs. All RACE-approved continuing education providers and programs are listed on the American Association of Veterinary State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“Veterinarian”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169.3(11)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“Veterinary student certificate” </w:t>
      </w:r>
      <w:r>
        <w:rPr>
          <w:rFonts w:ascii="Times New Roman" w:hAnsi="Times New Roman"/>
          <w:b w:val="false"/>
          <w:i w:val="false"/>
          <w:color w:val="000000"/>
          <w:sz w:val="22"/>
        </w:rPr>
        <w:t xml:space="preserve">means a certificate issued by the board to a veterinary student to practice on an animal pursuant to </w:t>
      </w:r>
      <w:hyperlink r:id="rId11">
        <w:r>
          <w:rPr>
            <w:rStyle w:val="Hyperlink"/>
            <w:rFonts w:ascii="Times New Roman" w:hAnsi="Times New Roman"/>
            <w:b w:val="false"/>
            <w:i w:val="false"/>
            <w:color w:val="000000"/>
            <w:sz w:val="22"/>
          </w:rPr>
          <w:t>811—subrule 6.7(3)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“VTNE” </w:t>
      </w:r>
      <w:r>
        <w:rPr>
          <w:rFonts w:ascii="Times New Roman" w:hAnsi="Times New Roman"/>
          <w:b w:val="false"/>
          <w:i w:val="false"/>
          <w:color w:val="000000"/>
          <w:sz w:val="22"/>
        </w:rPr>
        <w:t>means the Veterinary Technician National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“VTSE” </w:t>
      </w:r>
      <w:r>
        <w:rPr>
          <w:rFonts w:ascii="Times New Roman" w:hAnsi="Times New Roman"/>
          <w:b w:val="false"/>
          <w:i w:val="false"/>
          <w:color w:val="000000"/>
          <w:sz w:val="22"/>
        </w:rPr>
        <w:t>means the veterinary technician state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chapters </w:t>
      </w:r>
      <w:hyperlink r:id="rId13">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1465C</w:t>
      </w:r>
      <w:r>
        <w:rPr>
          <w:rFonts w:ascii="Times New Roman" w:hAnsi="Times New Roman"/>
          <w:b w:val="false"/>
          <w:i w:val="false"/>
          <w:color w:val="000000"/>
          <w:sz w:val="21"/>
        </w:rPr>
        <w:t xml:space="preserve"> (Notice ARC 1377C, IAB 3/19/14)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1984C</w:t>
      </w:r>
      <w:r>
        <w:rPr>
          <w:rFonts w:ascii="Times New Roman" w:hAnsi="Times New Roman"/>
          <w:b w:val="false"/>
          <w:i w:val="false"/>
          <w:color w:val="000000"/>
          <w:sz w:val="21"/>
        </w:rPr>
        <w:t xml:space="preserve"> (Notice ARC 1756C,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5638C</w:t>
      </w:r>
      <w:r>
        <w:rPr>
          <w:rFonts w:ascii="Times New Roman" w:hAnsi="Times New Roman"/>
          <w:b w:val="false"/>
          <w:i w:val="false"/>
          <w:color w:val="000000"/>
          <w:sz w:val="21"/>
        </w:rPr>
        <w:t xml:space="preserve"> (Notice ARC 5434C, IAB 2/10/21)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Emergency ARC 6397C, IAB 7/13/22, effective 6/14/22]</w:t>
      </w:r>
    </w:p>
    <w:p>
      <w:pPr>
        <w:spacing w:before="0" w:after="0"/>
        <w:ind w:left="120"/>
        <w:jc w:val="center"/>
      </w:pPr>
      <w:r>
        <w:rPr>
          <w:rFonts w:ascii="Times New Roman" w:hAnsi="Times New Roman"/>
          <w:b w:val="false"/>
          <w:i w:val="false"/>
          <w:color w:val="000000"/>
          <w:sz w:val="21"/>
        </w:rPr>
        <w:t>[Filed ARC 6523C</w:t>
      </w:r>
      <w:r>
        <w:rPr>
          <w:rFonts w:ascii="Times New Roman" w:hAnsi="Times New Roman"/>
          <w:b w:val="false"/>
          <w:i w:val="false"/>
          <w:color w:val="000000"/>
          <w:sz w:val="21"/>
        </w:rPr>
        <w:t xml:space="preserve"> (Notice ARC 6403C, IAB 7/13/22)</w:t>
      </w:r>
      <w:r>
        <w:rPr>
          <w:rFonts w:ascii="Times New Roman" w:hAnsi="Times New Roman"/>
          <w:b w:val="false"/>
          <w:i w:val="false"/>
          <w:color w:val="000000"/>
          <w:sz w:val="21"/>
        </w:rPr>
        <w:t>, IAB 9/21/22, effective 10/26/22]</w:t>
      </w:r>
    </w:p>
    <w:p>
      <w:pPr>
        <w:spacing w:before="0" w:after="0"/>
        <w:ind w:left="120"/>
        <w:jc w:val="center"/>
      </w:pPr>
      <w:r>
        <w:rPr>
          <w:rFonts w:ascii="Times New Roman" w:hAnsi="Times New Roman"/>
          <w:b w:val="false"/>
          <w:i w:val="false"/>
          <w:color w:val="000000"/>
          <w:sz w:val="21"/>
        </w:rPr>
        <w:t>[Filed ARC 8010C</w:t>
      </w:r>
      <w:r>
        <w:rPr>
          <w:rFonts w:ascii="Times New Roman" w:hAnsi="Times New Roman"/>
          <w:b w:val="false"/>
          <w:i w:val="false"/>
          <w:color w:val="000000"/>
          <w:sz w:val="21"/>
        </w:rPr>
        <w:t xml:space="preserve"> (Notice ARC 7556C,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5.pdf" Type="http://schemas.openxmlformats.org/officeDocument/2006/relationships/hyperlink" Id="rId5"/>
    <Relationship TargetMode="External" Target="https://www.legis.iowa.gov/docs/ico/chapter/169.3.pdf" Type="http://schemas.openxmlformats.org/officeDocument/2006/relationships/hyperlink" Id="rId6"/>
    <Relationship TargetMode="External" Target="https://www.legis.iowa.gov/docs/ico/chapter/169.34.pdf" Type="http://schemas.openxmlformats.org/officeDocument/2006/relationships/hyperlink" Id="rId7"/>
    <Relationship TargetMode="External" Target="https://www.legis.iowa.gov/docs/iac/rule/811.8.1.pdf" Type="http://schemas.openxmlformats.org/officeDocument/2006/relationships/hyperlink" Id="rId8"/>
    <Relationship TargetMode="External" Target="https://www.legis.iowa.gov/docs/iac/rule/811.9.1.pdf" Type="http://schemas.openxmlformats.org/officeDocument/2006/relationships/hyperlink" Id="rId9"/>
    <Relationship TargetMode="External" Target="https://www.legis.iowa.gov/docs/ico/chapter/169.3.pdf" Type="http://schemas.openxmlformats.org/officeDocument/2006/relationships/hyperlink" Id="rId10"/>
    <Relationship TargetMode="External" Target="https://www.legis.iowa.gov/docs/iac/rule/811.6.7.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169.pdf" Type="http://schemas.openxmlformats.org/officeDocument/2006/relationships/hyperlink" Id="rId13"/>
    <Relationship TargetMode="External" Target="https://www.legis.iowa.gov/docs/ico/chapter/272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