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GENERAL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ORGANIZATION AND PROCEDURES</w:t>
      </w:r>
    </w:p>
    <w:p>
      <w:pPr>
        <w:spacing w:before="0" w:after="0"/>
        <w:ind w:left="120"/>
        <w:jc w:val="center"/>
      </w:pPr>
      <w:r>
        <w:rPr>
          <w:rFonts w:ascii="Times New Roman" w:hAnsi="Times New Roman"/>
          <w:b w:val="false"/>
          <w:i w:val="false"/>
          <w:color w:val="000000"/>
          <w:sz w:val="20"/>
        </w:rPr>
        <w:t>[Originally Ch 10, renumbered Ch 25 IAC 2/4/81]</w:t>
      </w:r>
    </w:p>
    <w:p>
      <w:pPr>
        <w:spacing w:before="0" w:after="0"/>
        <w:ind w:left="120"/>
        <w:jc w:val="center"/>
      </w:pPr>
      <w:r>
        <w:rPr>
          <w:rFonts w:ascii="Times New Roman" w:hAnsi="Times New Roman"/>
          <w:b w:val="false"/>
          <w:i w:val="false"/>
          <w:color w:val="000000"/>
          <w:sz w:val="20"/>
        </w:rPr>
        <w:t>[Prior to 5/6/87, see Auditor of State[130],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81—25.1</w:t>
      </w:r>
      <w:r>
        <w:rPr>
          <w:rFonts w:ascii="Times New Roman" w:hAnsi="Times New Roman"/>
          <w:b/>
          <w:i w:val="false"/>
          <w:color w:val="000000"/>
          <w:sz w:val="22"/>
        </w:rPr>
        <w:t xml:space="preserve">(17A,11) </w:t>
      </w:r>
      <w:r>
        <w:rPr>
          <w:rFonts w:ascii="Times New Roman" w:hAnsi="Times New Roman"/>
          <w:b/>
          <w:i w:val="false"/>
          <w:color w:val="000000"/>
          <w:sz w:val="22"/>
        </w:rPr>
        <w:t xml:space="preserve">Auditor of state. </w:t>
      </w:r>
      <w:r>
        <w:rPr>
          <w:rFonts w:ascii="Times New Roman" w:hAnsi="Times New Roman"/>
          <w:b w:val="false"/>
          <w:i w:val="false"/>
          <w:color w:val="000000"/>
          <w:sz w:val="22"/>
        </w:rPr>
        <w:t>The auditor of state is a constitutional officer of the state of Iowa, as provided by Article IV, Section 22 of the Constitution of Iowa, as amended in 1972 which provides for the election of the auditor of state by the electorate of Iowa.</w:t>
      </w:r>
    </w:p>
    <w:p>
      <w:pPr>
        <w:spacing w:before="210" w:after="0"/>
        <w:ind w:left="120"/>
        <w:jc w:val="both"/>
      </w:pPr>
      <w:r>
        <w:rPr>
          <w:rFonts w:ascii="Times New Roman" w:hAnsi="Times New Roman"/>
          <w:b/>
          <w:i w:val="false"/>
          <w:color w:val="000000"/>
          <w:sz w:val="22"/>
        </w:rPr>
        <w:t>81—25.2</w:t>
      </w:r>
      <w:r>
        <w:rPr>
          <w:rFonts w:ascii="Times New Roman" w:hAnsi="Times New Roman"/>
          <w:b/>
          <w:i w:val="false"/>
          <w:color w:val="000000"/>
          <w:sz w:val="22"/>
        </w:rPr>
        <w:t xml:space="preserve">(17A,11) </w:t>
      </w:r>
      <w:r>
        <w:rPr>
          <w:rFonts w:ascii="Times New Roman" w:hAnsi="Times New Roman"/>
          <w:b/>
          <w:i w:val="false"/>
          <w:color w:val="000000"/>
          <w:sz w:val="22"/>
        </w:rPr>
        <w:t xml:space="preserve">Duties of auditor. </w:t>
      </w:r>
      <w:r>
        <w:rPr>
          <w:rFonts w:ascii="Times New Roman" w:hAnsi="Times New Roman"/>
          <w:b w:val="false"/>
          <w:i w:val="false"/>
          <w:color w:val="000000"/>
          <w:sz w:val="22"/>
        </w:rPr>
        <w:t xml:space="preserve">The rights, duties and responsibilities of the auditor of state are prescribed by Iowa Code chapter </w:t>
      </w:r>
      <w:hyperlink r:id="rId5">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81—25.3</w:t>
      </w:r>
      <w:r>
        <w:rPr>
          <w:rFonts w:ascii="Times New Roman" w:hAnsi="Times New Roman"/>
          <w:b/>
          <w:i w:val="false"/>
          <w:color w:val="000000"/>
          <w:sz w:val="22"/>
        </w:rPr>
        <w:t xml:space="preserve">(17A,11) </w:t>
      </w:r>
      <w:r>
        <w:rPr>
          <w:rFonts w:ascii="Times New Roman" w:hAnsi="Times New Roman"/>
          <w:b/>
          <w:i w:val="false"/>
          <w:color w:val="000000"/>
          <w:sz w:val="22"/>
        </w:rPr>
        <w:t xml:space="preserve">Location of office. </w:t>
      </w:r>
      <w:r>
        <w:rPr>
          <w:rFonts w:ascii="Times New Roman" w:hAnsi="Times New Roman"/>
          <w:b w:val="false"/>
          <w:i w:val="false"/>
          <w:color w:val="000000"/>
          <w:sz w:val="22"/>
        </w:rPr>
        <w:t>The offices of the auditor of state of Iowa are located at the seat of government at Des Moines, Iowa 50319, and are available to the public during prescribed office hours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or by special appointment in cases of necessity.</w:t>
      </w:r>
    </w:p>
    <w:p>
      <w:pPr>
        <w:spacing w:before="0" w:after="0"/>
        <w:ind w:left="120"/>
        <w:jc w:val="both"/>
      </w:pPr>
      <w:r>
        <w:rPr>
          <w:rFonts w:ascii="Times New Roman" w:hAnsi="Times New Roman"/>
          <w:b/>
          <w:i w:val="false"/>
          <w:color w:val="000000"/>
          <w:sz w:val="22"/>
        </w:rPr>
        <w:t>81—25.4</w:t>
      </w:r>
      <w:r>
        <w:rPr>
          <w:rFonts w:ascii="Times New Roman" w:hAnsi="Times New Roman"/>
          <w:b/>
          <w:i w:val="false"/>
          <w:color w:val="000000"/>
          <w:sz w:val="22"/>
        </w:rPr>
        <w:t xml:space="preserve">(17A,11) </w:t>
      </w:r>
      <w:r>
        <w:rPr>
          <w:rFonts w:ascii="Times New Roman" w:hAnsi="Times New Roman"/>
          <w:b/>
          <w:i w:val="false"/>
          <w:color w:val="000000"/>
          <w:sz w:val="22"/>
        </w:rPr>
        <w:t xml:space="preserve">Distribution of duties. </w:t>
      </w:r>
      <w:r>
        <w:rPr>
          <w:rFonts w:ascii="Times New Roman" w:hAnsi="Times New Roman"/>
          <w:b w:val="false"/>
          <w:i w:val="false"/>
          <w:color w:val="000000"/>
          <w:sz w:val="22"/>
        </w:rPr>
        <w:t>The office of auditor of state has three principal divisions, namely: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The administrative division, under the direct control of the auditor of state, assisted by a deputy and administrative assistants, which exercises control and supervision of all activities of the auditor’s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The financial audit division, supervised and directed by a deputy appointed by the auditor of state, which is charged with the responsibilities of annual audit of all agencies of the state receiving or expending state funds, as well as audits of local governments such as counties, cities and schools as provided by statute. This division also performs reaudits and provides technical assistance to private citizens, CPA firms, government officials and other governmental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The performance investigation division, directed by a supervisor appointed by the auditor of state, which is charged with the responsibilities of conducting performance audits of state agencies, investigating suspected embezzlements, and conducting special studies as provided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4245C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81—25.5</w:t>
      </w:r>
      <w:r>
        <w:rPr>
          <w:rFonts w:ascii="Times New Roman" w:hAnsi="Times New Roman"/>
          <w:b/>
          <w:i w:val="false"/>
          <w:color w:val="000000"/>
          <w:sz w:val="22"/>
        </w:rPr>
        <w:t xml:space="preserve">(17A,11) </w:t>
      </w:r>
      <w:r>
        <w:rPr>
          <w:rFonts w:ascii="Times New Roman" w:hAnsi="Times New Roman"/>
          <w:b/>
          <w:i w:val="false"/>
          <w:color w:val="000000"/>
          <w:sz w:val="22"/>
        </w:rPr>
        <w:t xml:space="preserve">Savings and loan associations.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4245C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1/16/19</w:t>
      </w:r>
      <w:r>
        <w:rPr>
          <w:rFonts w:ascii="Times New Roman" w:hAnsi="Times New Roman"/>
          <w:b w:val="false"/>
          <w:i w:val="false"/>
          <w:color w:val="000000"/>
          <w:sz w:val="22"/>
        </w:rPr>
        <w:t xml:space="preserve">, effective 2/20/19. </w:t>
      </w:r>
    </w:p>
    <w:p>
      <w:pPr>
        <w:spacing w:before="210" w:after="0"/>
        <w:ind w:left="120"/>
        <w:jc w:val="both"/>
      </w:pPr>
      <w:r>
        <w:rPr>
          <w:rFonts w:ascii="Times New Roman" w:hAnsi="Times New Roman"/>
          <w:b/>
          <w:i w:val="false"/>
          <w:color w:val="000000"/>
          <w:sz w:val="22"/>
        </w:rPr>
        <w:t>81—25.6</w:t>
      </w:r>
      <w:r>
        <w:rPr>
          <w:rFonts w:ascii="Times New Roman" w:hAnsi="Times New Roman"/>
          <w:b/>
          <w:i w:val="false"/>
          <w:color w:val="000000"/>
          <w:sz w:val="22"/>
        </w:rPr>
        <w:t xml:space="preserve">(17A,11) </w:t>
      </w:r>
      <w:r>
        <w:rPr>
          <w:rFonts w:ascii="Times New Roman" w:hAnsi="Times New Roman"/>
          <w:b/>
          <w:i w:val="false"/>
          <w:color w:val="000000"/>
          <w:sz w:val="22"/>
        </w:rPr>
        <w:t xml:space="preserve">Industrial loan companies.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4245C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1/16/19</w:t>
      </w:r>
      <w:r>
        <w:rPr>
          <w:rFonts w:ascii="Times New Roman" w:hAnsi="Times New Roman"/>
          <w:b w:val="false"/>
          <w:i w:val="false"/>
          <w:color w:val="000000"/>
          <w:sz w:val="22"/>
        </w:rPr>
        <w:t xml:space="preserve">, effective 2/20/19. </w:t>
      </w:r>
    </w:p>
    <w:p>
      <w:pPr>
        <w:spacing w:before="0" w:after="0"/>
        <w:ind w:left="120"/>
        <w:jc w:val="both"/>
      </w:pPr>
      <w:r>
        <w:rPr>
          <w:rFonts w:ascii="Times New Roman" w:hAnsi="Times New Roman"/>
          <w:b/>
          <w:i w:val="false"/>
          <w:color w:val="000000"/>
          <w:sz w:val="22"/>
        </w:rPr>
        <w:t>81—25.7</w:t>
      </w:r>
      <w:r>
        <w:rPr>
          <w:rFonts w:ascii="Times New Roman" w:hAnsi="Times New Roman"/>
          <w:b/>
          <w:i w:val="false"/>
          <w:color w:val="000000"/>
          <w:sz w:val="22"/>
        </w:rPr>
        <w:t xml:space="preserve">(17A,11)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Each of the divisions and agencies of the auditor’s office is staffed by auditors and assistants appointed by the auditor of state, as provided for by Iowa Code section </w:t>
      </w:r>
      <w:hyperlink r:id="rId6">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and other personnel necessary to fulfill the requirements of the auditor’s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4245C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81—25.8</w:t>
      </w:r>
      <w:r>
        <w:rPr>
          <w:rFonts w:ascii="Times New Roman" w:hAnsi="Times New Roman"/>
          <w:b/>
          <w:i w:val="false"/>
          <w:color w:val="000000"/>
          <w:sz w:val="22"/>
        </w:rPr>
        <w:t xml:space="preserve">(17A,11) </w:t>
      </w:r>
      <w:r>
        <w:rPr>
          <w:rFonts w:ascii="Times New Roman" w:hAnsi="Times New Roman"/>
          <w:b/>
          <w:i w:val="false"/>
          <w:color w:val="000000"/>
          <w:sz w:val="22"/>
        </w:rPr>
        <w:t xml:space="preserve">Annual audit. </w:t>
      </w:r>
      <w:r>
        <w:rPr>
          <w:rFonts w:ascii="Times New Roman" w:hAnsi="Times New Roman"/>
          <w:b w:val="false"/>
          <w:i w:val="false"/>
          <w:color w:val="000000"/>
          <w:sz w:val="22"/>
        </w:rPr>
        <w:t>The statutes of Iowa provide for annual audit of all state offices and departments of the state and the counties and cities and city offices, merged areas and educational agencies and all school districts and school offices except that cities having a population of less than 2,000 shall be examined as otherwise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4245C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81—25.9</w:t>
      </w:r>
      <w:r>
        <w:rPr>
          <w:rFonts w:ascii="Times New Roman" w:hAnsi="Times New Roman"/>
          <w:b/>
          <w:i w:val="false"/>
          <w:color w:val="000000"/>
          <w:sz w:val="22"/>
        </w:rPr>
        <w:t xml:space="preserve">(17A,11) </w:t>
      </w:r>
      <w:r>
        <w:rPr>
          <w:rFonts w:ascii="Times New Roman" w:hAnsi="Times New Roman"/>
          <w:b/>
          <w:i w:val="false"/>
          <w:color w:val="000000"/>
          <w:sz w:val="22"/>
        </w:rPr>
        <w:t xml:space="preserve">Reports of audit. </w:t>
      </w:r>
      <w:r>
        <w:rPr>
          <w:rFonts w:ascii="Times New Roman" w:hAnsi="Times New Roman"/>
          <w:b w:val="false"/>
          <w:i w:val="false"/>
          <w:color w:val="000000"/>
          <w:sz w:val="22"/>
        </w:rPr>
        <w:t>Verified reports of audit are filed at the office of the auditor of state, with the officer or agency audited, the county auditor and board of supervisors of the county audited and the mayor and council of a city audited and with the superintendent and directors of all schools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All reports of audit are open to public inspection after publication and filing by the auditor. A limited number of copies of reports of audit are available to the public and news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Preliminary information of investigations or audit are not disclosed except as provided by law. There is to be no disclosure of results of investigation or report of audit until after the officer or agency involved has been notified and furnished a verified copy of such audit. Reports of audit are published by the auditor of state by forwarding a verified copy thereof to the officer or officers of the agency audited. Notice that a report of audit has been published is forwarded immediately thereafter to each newspaper, radio station and television station located in the county, municipality or school district involved.</w:t>
      </w:r>
    </w:p>
    <w:p>
      <w:pPr>
        <w:spacing w:before="210" w:after="0"/>
        <w:ind w:left="120"/>
        <w:jc w:val="both"/>
      </w:pPr>
      <w:r>
        <w:rPr>
          <w:rFonts w:ascii="Times New Roman" w:hAnsi="Times New Roman"/>
          <w:b/>
          <w:i w:val="false"/>
          <w:color w:val="000000"/>
          <w:sz w:val="22"/>
        </w:rPr>
        <w:t>81—25.10</w:t>
      </w:r>
      <w:r>
        <w:rPr>
          <w:rFonts w:ascii="Times New Roman" w:hAnsi="Times New Roman"/>
          <w:b/>
          <w:i w:val="false"/>
          <w:color w:val="000000"/>
          <w:sz w:val="22"/>
        </w:rPr>
        <w:t xml:space="preserve">(17A,11)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81—25.11</w:t>
      </w:r>
      <w:r>
        <w:rPr>
          <w:rFonts w:ascii="Times New Roman" w:hAnsi="Times New Roman"/>
          <w:b/>
          <w:i w:val="false"/>
          <w:color w:val="000000"/>
          <w:sz w:val="22"/>
        </w:rPr>
        <w:t xml:space="preserve">(17A,11)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Informal settlement of controversies that may culminate in contested cases are encouraged. Parties to a controversy may arrange and consent to a meeting for informal settlement of pending controversy. Arrangements therefor may be petitioned for in writing by either party. The time and place for hearing of petition for informal settlement shall be fixed by the agency involved or by mutual consent of the parties thereto.</w:t>
      </w:r>
    </w:p>
    <w:p>
      <w:pPr>
        <w:spacing w:before="210" w:after="0"/>
        <w:ind w:left="120"/>
        <w:jc w:val="both"/>
      </w:pPr>
      <w:r>
        <w:rPr>
          <w:rFonts w:ascii="Times New Roman" w:hAnsi="Times New Roman"/>
          <w:b/>
          <w:i w:val="false"/>
          <w:color w:val="000000"/>
          <w:sz w:val="22"/>
        </w:rPr>
        <w:t>81—25.12</w:t>
      </w:r>
      <w:r>
        <w:rPr>
          <w:rFonts w:ascii="Times New Roman" w:hAnsi="Times New Roman"/>
          <w:b/>
          <w:i w:val="false"/>
          <w:color w:val="000000"/>
          <w:sz w:val="22"/>
        </w:rPr>
        <w:t xml:space="preserve">(17A,11) </w:t>
      </w:r>
      <w:r>
        <w:rPr>
          <w:rFonts w:ascii="Times New Roman" w:hAnsi="Times New Roman"/>
          <w:b/>
          <w:i w:val="false"/>
          <w:color w:val="000000"/>
          <w:sz w:val="22"/>
        </w:rPr>
        <w:t xml:space="preserve">Change of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6/16/99</w:t>
      </w:r>
      <w:r>
        <w:rPr>
          <w:rFonts w:ascii="Times New Roman" w:hAnsi="Times New Roman"/>
          <w:b w:val="false"/>
          <w:i w:val="false"/>
          <w:color w:val="000000"/>
          <w:sz w:val="22"/>
        </w:rPr>
        <w:t>, effective 7/21/99.</w:t>
      </w:r>
    </w:p>
    <w:p>
      <w:pPr>
        <w:spacing w:before="0" w:after="0"/>
        <w:ind w:left="120"/>
        <w:jc w:val="center"/>
      </w:pPr>
      <w:r>
        <w:rPr>
          <w:rFonts w:ascii="Times New Roman" w:hAnsi="Times New Roman"/>
          <w:b w:val="false"/>
          <w:i w:val="false"/>
          <w:color w:val="000000"/>
          <w:sz w:val="21"/>
        </w:rPr>
        <w:t>[Filed 3/17/76, Notice 2/9/76—published 4/5/76, effective 5/10/76]</w:t>
      </w:r>
    </w:p>
    <w:p>
      <w:pPr>
        <w:spacing w:before="0" w:after="0"/>
        <w:ind w:left="120"/>
        <w:jc w:val="center"/>
      </w:pPr>
      <w:r>
        <w:rPr>
          <w:rFonts w:ascii="Times New Roman" w:hAnsi="Times New Roman"/>
          <w:b w:val="false"/>
          <w:i w:val="false"/>
          <w:color w:val="000000"/>
          <w:sz w:val="21"/>
        </w:rPr>
        <w:t>[Filed emergency 2/2/79—published 2/21/79, effective 2/2/79]</w:t>
      </w:r>
    </w:p>
    <w:p>
      <w:pPr>
        <w:spacing w:before="0" w:after="0"/>
        <w:ind w:left="120"/>
        <w:jc w:val="center"/>
      </w:pPr>
      <w:r>
        <w:rPr>
          <w:rFonts w:ascii="Times New Roman" w:hAnsi="Times New Roman"/>
          <w:b w:val="false"/>
          <w:i w:val="false"/>
          <w:color w:val="000000"/>
          <w:sz w:val="21"/>
        </w:rPr>
        <w:t>[Filed emergency 1/16/81—published 2/4/81, effective 1/16/81]</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ARC 4245C</w:t>
      </w:r>
      <w:r>
        <w:rPr>
          <w:rFonts w:ascii="Times New Roman" w:hAnsi="Times New Roman"/>
          <w:b w:val="false"/>
          <w:i w:val="false"/>
          <w:color w:val="000000"/>
          <w:sz w:val="21"/>
        </w:rPr>
        <w:t xml:space="preserve"> (Notice ARC 4125C, IAB 11/21/18)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1.pdf" Type="http://schemas.openxmlformats.org/officeDocument/2006/relationships/hyperlink" Id="rId5"/>
    <Relationship TargetMode="External" Target="https://www.legis.iowa.gov/docs/ico/chapter/11.3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