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FILING FEES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81—21.1</w:t>
      </w:r>
      <w:r>
        <w:rPr>
          <w:rFonts w:ascii="Times New Roman" w:hAnsi="Times New Roman"/>
          <w:b/>
          <w:i w:val="false"/>
          <w:color w:val="000000"/>
          <w:sz w:val="22"/>
        </w:rPr>
        <w:t xml:space="preserve">(11) </w:t>
      </w:r>
      <w:r>
        <w:rPr>
          <w:rFonts w:ascii="Times New Roman" w:hAnsi="Times New Roman"/>
          <w:b/>
          <w:i w:val="false"/>
          <w:color w:val="000000"/>
          <w:sz w:val="22"/>
        </w:rPr>
        <w:t xml:space="preserve">Filing fee. </w:t>
      </w:r>
      <w:r>
        <w:rPr>
          <w:rFonts w:ascii="Times New Roman" w:hAnsi="Times New Roman"/>
          <w:b w:val="false"/>
          <w:i w:val="false"/>
          <w:color w:val="000000"/>
          <w:sz w:val="22"/>
        </w:rPr>
        <w:t xml:space="preserve">A filing fee, as provided for under Iowa Code section </w:t>
      </w:r>
      <w:hyperlink r:id="rId5">
        <w:r>
          <w:rPr>
            <w:rStyle w:val="Hyperlink"/>
            <w:rFonts w:ascii="Times New Roman" w:hAnsi="Times New Roman"/>
            <w:b w:val="false"/>
            <w:i w:val="false"/>
            <w:color w:val="000000"/>
            <w:sz w:val="22"/>
          </w:rPr>
          <w:t>11.6, subsection 10</w:t>
        </w:r>
      </w:hyperlink>
      <w:r>
        <w:rPr>
          <w:rFonts w:ascii="Times New Roman" w:hAnsi="Times New Roman"/>
          <w:b w:val="false"/>
          <w:i w:val="false"/>
          <w:color w:val="000000"/>
          <w:sz w:val="22"/>
        </w:rPr>
        <w:t xml:space="preserve">, shall be paid by governmental subdivisions, listed in Iowa Code section </w:t>
      </w:r>
      <w:hyperlink r:id="rId6">
        <w:r>
          <w:rPr>
            <w:rStyle w:val="Hyperlink"/>
            <w:rFonts w:ascii="Times New Roman" w:hAnsi="Times New Roman"/>
            <w:b w:val="false"/>
            <w:i w:val="false"/>
            <w:color w:val="000000"/>
            <w:sz w:val="22"/>
          </w:rPr>
          <w:t>11.6, subsections 1 to 3</w:t>
        </w:r>
      </w:hyperlink>
      <w:r>
        <w:rPr>
          <w:rFonts w:ascii="Times New Roman" w:hAnsi="Times New Roman"/>
          <w:b w:val="false"/>
          <w:i w:val="false"/>
          <w:color w:val="000000"/>
          <w:sz w:val="22"/>
        </w:rPr>
        <w:t>, for the filing of each audit performed in accordance with those subsections.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val="false"/>
          <w:color w:val="000000"/>
          <w:sz w:val="22"/>
        </w:rPr>
        <w:t>The fee shall be remitted according to a fee schedule using six strata based on the budgeted expenditures of the certified budget as last adopted or amended of the governmental subdivision for the fiscal year of the report being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val="false"/>
          <w:color w:val="000000"/>
          <w:sz w:val="22"/>
        </w:rPr>
        <w:t>The designated strata and applicable fees are as follows:</w:t>
      </w:r>
    </w:p>
    <w:tbl>
      <w:tblPr>
        <w:tblW w:w="5000" w:type="pct"/>
        <w:tblCellSpacing w:w="0" w:type="auto"/>
        <w:tblBorders>
          <w:top w:val="none"/>
          <w:left w:val="none"/>
          <w:bottom w:val="none"/>
          <w:right w:val="none"/>
          <w:insideH w:val="none"/>
          <w:insideV w:val="none"/>
        </w:tblBorders>
        <w:tblLayout w:type="fixed"/>
      </w:tblPr>
      <w:tblGrid>
        <w:gridCol w:w="4314"/>
        <w:gridCol w:w="3822"/>
        <w:gridCol w:w="3054"/>
      </w:tblGrid>
      <w:tr>
        <w:trPr>
          <w:trHeight w:val="390" w:hRule="atLeast"/>
        </w:trPr>
        <w:tc>
          <w:tcPr>
            <w:tcW w:w="4314"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Budgeted Expenditures</w:t>
            </w:r>
          </w:p>
          <w:p>
            <w:pPr>
              <w:spacing w:before="0" w:after="0"/>
              <w:ind w:left="160"/>
              <w:jc w:val="center"/>
            </w:pPr>
            <w:r>
              <w:rPr>
                <w:rFonts w:ascii="Times New Roman" w:hAnsi="Times New Roman"/>
                <w:b w:val="false"/>
                <w:i w:val="false"/>
                <w:color w:val="000000"/>
                <w:sz w:val="16"/>
              </w:rPr>
              <w:t>in Millions of Dollars</w:t>
            </w:r>
          </w:p>
        </w:tc>
        <w:tc>
          <w:tcPr>
            <w:tcW w:w="3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54"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 xml:space="preserve">Fee </w:t>
            </w:r>
          </w:p>
          <w:p>
            <w:pPr>
              <w:spacing w:before="0" w:after="0"/>
              <w:ind w:left="160"/>
              <w:jc w:val="center"/>
            </w:pPr>
            <w:r>
              <w:rPr>
                <w:rFonts w:ascii="Times New Roman" w:hAnsi="Times New Roman"/>
                <w:b w:val="false"/>
                <w:i w:val="false"/>
                <w:color w:val="000000"/>
                <w:sz w:val="16"/>
              </w:rPr>
              <w:t>Amount</w:t>
            </w:r>
          </w:p>
        </w:tc>
      </w:tr>
      <w:tr>
        <w:trPr>
          <w:trHeight w:val="225" w:hRule="atLeast"/>
        </w:trPr>
        <w:tc>
          <w:tcPr>
            <w:tcW w:w="43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Under 1</w:t>
            </w:r>
          </w:p>
        </w:tc>
        <w:tc>
          <w:tcPr>
            <w:tcW w:w="3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5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$100</w:t>
            </w:r>
          </w:p>
        </w:tc>
      </w:tr>
      <w:tr>
        <w:trPr>
          <w:trHeight w:val="210" w:hRule="atLeast"/>
        </w:trPr>
        <w:tc>
          <w:tcPr>
            <w:tcW w:w="43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1 but less than 3</w:t>
            </w:r>
          </w:p>
        </w:tc>
        <w:tc>
          <w:tcPr>
            <w:tcW w:w="3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5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$175</w:t>
            </w:r>
          </w:p>
        </w:tc>
      </w:tr>
      <w:tr>
        <w:trPr>
          <w:trHeight w:val="210" w:hRule="atLeast"/>
        </w:trPr>
        <w:tc>
          <w:tcPr>
            <w:tcW w:w="43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3 but less than 5</w:t>
            </w:r>
          </w:p>
        </w:tc>
        <w:tc>
          <w:tcPr>
            <w:tcW w:w="3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5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$250</w:t>
            </w:r>
          </w:p>
        </w:tc>
      </w:tr>
      <w:tr>
        <w:trPr>
          <w:trHeight w:val="210" w:hRule="atLeast"/>
        </w:trPr>
        <w:tc>
          <w:tcPr>
            <w:tcW w:w="43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5 but less than 10</w:t>
            </w:r>
          </w:p>
        </w:tc>
        <w:tc>
          <w:tcPr>
            <w:tcW w:w="3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5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$425</w:t>
            </w:r>
          </w:p>
        </w:tc>
      </w:tr>
      <w:tr>
        <w:trPr>
          <w:trHeight w:val="210" w:hRule="atLeast"/>
        </w:trPr>
        <w:tc>
          <w:tcPr>
            <w:tcW w:w="43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10 but less than 25</w:t>
            </w:r>
          </w:p>
        </w:tc>
        <w:tc>
          <w:tcPr>
            <w:tcW w:w="3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5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$625</w:t>
            </w:r>
          </w:p>
        </w:tc>
      </w:tr>
      <w:tr>
        <w:trPr>
          <w:trHeight w:val="210" w:hRule="atLeast"/>
        </w:trPr>
        <w:tc>
          <w:tcPr>
            <w:tcW w:w="43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 and over</w:t>
            </w:r>
          </w:p>
        </w:tc>
        <w:tc>
          <w:tcPr>
            <w:tcW w:w="3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5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$850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val="false"/>
          <w:color w:val="000000"/>
          <w:sz w:val="22"/>
        </w:rPr>
        <w:t>The annual fee shall pertain to the fiscal year of the report being filed and not the fiscal year in which the report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w:t>
      </w:r>
      <w:r>
        <w:rPr>
          <w:rFonts w:ascii="Times New Roman" w:hAnsi="Times New Roman"/>
          <w:b w:val="false"/>
          <w:i w:val="false"/>
          <w:color w:val="000000"/>
          <w:sz w:val="22"/>
        </w:rPr>
        <w:t> </w:t>
      </w:r>
      <w:r>
        <w:rPr>
          <w:rFonts w:ascii="Times New Roman" w:hAnsi="Times New Roman"/>
          <w:b w:val="false"/>
          <w:i w:val="false"/>
          <w:color w:val="000000"/>
          <w:sz w:val="22"/>
        </w:rPr>
        <w:t>The fee should be remitted to the auditor of state at the same time the report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w:t>
      </w:r>
      <w:r>
        <w:rPr>
          <w:rFonts w:ascii="Times New Roman" w:hAnsi="Times New Roman"/>
          <w:b w:val="false"/>
          <w:i w:val="false"/>
          <w:color w:val="000000"/>
          <w:sz w:val="22"/>
        </w:rPr>
        <w:t> </w:t>
      </w:r>
      <w:r>
        <w:rPr>
          <w:rFonts w:ascii="Times New Roman" w:hAnsi="Times New Roman"/>
          <w:b w:val="false"/>
          <w:i w:val="false"/>
          <w:color w:val="000000"/>
          <w:sz w:val="22"/>
        </w:rPr>
        <w:t>Governmental subdivisions shall be notified annually by July 30 of the amount of the fee for reports filed in the fiscal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11.6, subsection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81—21.2</w:t>
      </w:r>
      <w:r>
        <w:rPr>
          <w:rFonts w:ascii="Times New Roman" w:hAnsi="Times New Roman"/>
          <w:b/>
          <w:i w:val="false"/>
          <w:color w:val="000000"/>
          <w:sz w:val="22"/>
        </w:rPr>
        <w:t xml:space="preserve">(11) </w:t>
      </w:r>
      <w:r>
        <w:rPr>
          <w:rFonts w:ascii="Times New Roman" w:hAnsi="Times New Roman"/>
          <w:b/>
          <w:i w:val="false"/>
          <w:color w:val="000000"/>
          <w:sz w:val="22"/>
        </w:rPr>
        <w:t xml:space="preserve">Periodic examination fee. </w:t>
      </w:r>
      <w:r>
        <w:rPr>
          <w:rFonts w:ascii="Times New Roman" w:hAnsi="Times New Roman"/>
          <w:b w:val="false"/>
          <w:i w:val="false"/>
          <w:color w:val="000000"/>
          <w:sz w:val="22"/>
        </w:rPr>
        <w:t xml:space="preserve">A periodic examination fee, as provided for under Iowa Code section </w:t>
      </w:r>
      <w:hyperlink r:id="rId8">
        <w:r>
          <w:rPr>
            <w:rStyle w:val="Hyperlink"/>
            <w:rFonts w:ascii="Times New Roman" w:hAnsi="Times New Roman"/>
            <w:b w:val="false"/>
            <w:i w:val="false"/>
            <w:color w:val="000000"/>
            <w:sz w:val="22"/>
          </w:rPr>
          <w:t>11.6(11)</w:t>
        </w:r>
      </w:hyperlink>
      <w:r>
        <w:rPr>
          <w:rFonts w:ascii="Times New Roman" w:hAnsi="Times New Roman"/>
          <w:b w:val="false"/>
          <w:i w:val="false"/>
          <w:color w:val="000000"/>
          <w:sz w:val="22"/>
        </w:rPr>
        <w:t xml:space="preserve">, shall be paid annually by cities that do not otherwise have an audit or fiscal year examination conducted pursuant to Iowa Code section </w:t>
      </w:r>
      <w:hyperlink r:id="rId9">
        <w:r>
          <w:rPr>
            <w:rStyle w:val="Hyperlink"/>
            <w:rFonts w:ascii="Times New Roman" w:hAnsi="Times New Roman"/>
            <w:b w:val="false"/>
            <w:i w:val="false"/>
            <w:color w:val="000000"/>
            <w:sz w:val="22"/>
          </w:rPr>
          <w:t>11.6, subsection 1 or subsection 3</w:t>
        </w:r>
      </w:hyperlink>
      <w:r>
        <w:rPr>
          <w:rFonts w:ascii="Times New Roman" w:hAnsi="Times New Roman"/>
          <w:b w:val="false"/>
          <w:i w:val="false"/>
          <w:color w:val="000000"/>
          <w:sz w:val="22"/>
        </w:rPr>
        <w:t>, during a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The fee shall be remitted according to a fee schedule using five strata based on the average of actual expenditures of the governmental subdivision for the previous two fiscal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The designated strata and applicable fees are as follows:</w:t>
      </w:r>
    </w:p>
    <w:tbl>
      <w:tblPr>
        <w:tblW w:w="5000" w:type="pct"/>
        <w:tblCellSpacing w:w="0" w:type="auto"/>
        <w:tblBorders>
          <w:top w:val="none"/>
          <w:left w:val="none"/>
          <w:bottom w:val="none"/>
          <w:right w:val="none"/>
          <w:insideH w:val="none"/>
          <w:insideV w:val="none"/>
        </w:tblBorders>
        <w:tblLayout w:type="fixed"/>
      </w:tblPr>
      <w:tblGrid>
        <w:gridCol w:w="4708"/>
        <w:gridCol w:w="3374"/>
        <w:gridCol w:w="3107"/>
      </w:tblGrid>
      <w:tr>
        <w:trPr>
          <w:trHeight w:val="390" w:hRule="atLeast"/>
        </w:trPr>
        <w:tc>
          <w:tcPr>
            <w:tcW w:w="470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Budget Expenditures</w:t>
            </w:r>
            <w:r>
              <w:br/>
            </w:r>
            <w:r>
              <w:rPr>
                <w:rFonts w:ascii="Times New Roman" w:hAnsi="Times New Roman"/>
                <w:b w:val="false"/>
                <w:i w:val="false"/>
                <w:color w:val="000000"/>
                <w:sz w:val="16"/>
              </w:rPr>
              <w:t>in Thousands of Dollars</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Fee</w:t>
            </w:r>
            <w:r>
              <w:br/>
            </w:r>
            <w:r>
              <w:rPr>
                <w:rFonts w:ascii="Times New Roman" w:hAnsi="Times New Roman"/>
                <w:b w:val="false"/>
                <w:i w:val="false"/>
                <w:color w:val="000000"/>
                <w:sz w:val="16"/>
              </w:rPr>
              <w:t>Amount</w:t>
            </w:r>
          </w:p>
        </w:tc>
      </w:tr>
      <w:tr>
        <w:trPr>
          <w:trHeight w:val="225" w:hRule="atLeast"/>
        </w:trPr>
        <w:tc>
          <w:tcPr>
            <w:tcW w:w="4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Under 100</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center"/>
            </w:pPr>
            <w:r>
              <w:rPr>
                <w:rFonts w:ascii="Times New Roman" w:hAnsi="Times New Roman"/>
                <w:b w:val="false"/>
                <w:i w:val="false"/>
                <w:color w:val="000000"/>
                <w:sz w:val="16"/>
              </w:rPr>
              <w:t>200</w:t>
            </w:r>
          </w:p>
        </w:tc>
      </w:tr>
      <w:tr>
        <w:trPr>
          <w:trHeight w:val="210" w:hRule="atLeast"/>
        </w:trPr>
        <w:tc>
          <w:tcPr>
            <w:tcW w:w="4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100 but less than 250</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center"/>
            </w:pPr>
            <w:r>
              <w:rPr>
                <w:rFonts w:ascii="Times New Roman" w:hAnsi="Times New Roman"/>
                <w:b w:val="false"/>
                <w:i w:val="false"/>
                <w:color w:val="000000"/>
                <w:sz w:val="16"/>
              </w:rPr>
              <w:t>550</w:t>
            </w:r>
          </w:p>
        </w:tc>
      </w:tr>
      <w:tr>
        <w:trPr>
          <w:trHeight w:val="210" w:hRule="atLeast"/>
        </w:trPr>
        <w:tc>
          <w:tcPr>
            <w:tcW w:w="4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250 but less than 500</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center"/>
            </w:pPr>
            <w:r>
              <w:rPr>
                <w:rFonts w:ascii="Times New Roman" w:hAnsi="Times New Roman"/>
                <w:b w:val="false"/>
                <w:i w:val="false"/>
                <w:color w:val="000000"/>
                <w:sz w:val="16"/>
              </w:rPr>
              <w:t>800</w:t>
            </w:r>
          </w:p>
        </w:tc>
      </w:tr>
      <w:tr>
        <w:trPr>
          <w:trHeight w:val="210" w:hRule="atLeast"/>
        </w:trPr>
        <w:tc>
          <w:tcPr>
            <w:tcW w:w="4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500 but less than 750</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$1,200</w:t>
            </w:r>
          </w:p>
        </w:tc>
      </w:tr>
      <w:tr>
        <w:trPr>
          <w:trHeight w:val="210" w:hRule="atLeast"/>
        </w:trPr>
        <w:tc>
          <w:tcPr>
            <w:tcW w:w="4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750 or more</w:t>
            </w:r>
          </w:p>
        </w:tc>
        <w:tc>
          <w:tcPr>
            <w:tcW w:w="3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val="false"/>
          <w:color w:val="000000"/>
          <w:sz w:val="22"/>
        </w:rPr>
        <w:t>The fee shall be remitted to the office of auditor of state on or before March 31 each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11.6(11)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1023C</w:t>
      </w:r>
      <w:r>
        <w:rPr>
          <w:rFonts w:ascii="Times New Roman" w:hAnsi="Times New Roman"/>
          <w:b w:val="false"/>
          <w:i w:val="false"/>
          <w:color w:val="000000"/>
          <w:sz w:val="16"/>
        </w:rPr>
        <w:t>, IAB 9/18/13, effective 10/23/13</w:t>
      </w:r>
      <w:r>
        <w:rPr>
          <w:rFonts w:ascii="Times New Roman" w:hAnsi="Times New Roman"/>
          <w:b w:val="false"/>
          <w:i w:val="false"/>
          <w:color w:val="000000"/>
          <w:sz w:val="16"/>
        </w:rPr>
        <w:t xml:space="preserve">; </w:t>
      </w:r>
      <w:r>
        <w:rPr>
          <w:rFonts w:ascii="Times New Roman" w:hAnsi="Times New Roman"/>
          <w:b/>
          <w:i w:val="false"/>
          <w:color w:val="000000"/>
          <w:sz w:val="16"/>
        </w:rPr>
        <w:t>ARC 4929C</w:t>
      </w:r>
      <w:r>
        <w:rPr>
          <w:rFonts w:ascii="Times New Roman" w:hAnsi="Times New Roman"/>
          <w:b w:val="false"/>
          <w:i w:val="false"/>
          <w:color w:val="000000"/>
          <w:sz w:val="16"/>
        </w:rPr>
        <w:t>, IAB 2/12/20, effective 4/1/20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9/13/91, Notice 3/20/91—published 10/2/91, effective 11/6/91]</w:t>
      </w:r>
    </w:p>
    <w:p>
      <w:pPr>
        <w:spacing w:before="0" w:after="0"/>
        <w:ind w:left="120"/>
        <w:jc w:val="center"/>
      </w:pPr>
      <w:r>
        <w:rPr>
          <w:rFonts w:ascii="Times New Roman" w:hAnsi="Times New Roman"/>
          <w:b w:val="false"/>
          <w:i w:val="false"/>
          <w:color w:val="000000"/>
          <w:sz w:val="21"/>
        </w:rPr>
        <w:t>[Filed 1/15/93, Notice 10/28/92—published 2/3/93, effective 3/10/93]</w:t>
      </w:r>
    </w:p>
    <w:p>
      <w:pPr>
        <w:spacing w:before="0" w:after="0"/>
        <w:ind w:left="120"/>
        <w:jc w:val="center"/>
      </w:pPr>
      <w:r>
        <w:rPr>
          <w:rFonts w:ascii="Times New Roman" w:hAnsi="Times New Roman"/>
          <w:b w:val="false"/>
          <w:i w:val="false"/>
          <w:color w:val="000000"/>
          <w:sz w:val="21"/>
        </w:rPr>
        <w:t>[Filed 5/9/03, Notice 4/2/03—published 5/28/03, effective 7/2/03]</w:t>
      </w:r>
    </w:p>
    <w:p>
      <w:pPr>
        <w:spacing w:before="0" w:after="0"/>
        <w:ind w:left="120"/>
        <w:jc w:val="center"/>
      </w:pPr>
      <w:r>
        <w:rPr>
          <w:rFonts w:ascii="Times New Roman" w:hAnsi="Times New Roman"/>
          <w:b w:val="false"/>
          <w:i w:val="false"/>
          <w:color w:val="000000"/>
          <w:sz w:val="21"/>
        </w:rPr>
        <w:t>[Filed ARC 1023C</w:t>
      </w:r>
      <w:r>
        <w:rPr>
          <w:rFonts w:ascii="Times New Roman" w:hAnsi="Times New Roman"/>
          <w:b w:val="false"/>
          <w:i w:val="false"/>
          <w:color w:val="000000"/>
          <w:sz w:val="21"/>
        </w:rPr>
        <w:t xml:space="preserve"> (Notice ARC 0849C, IAB 7/24/13)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ARC 4929C</w:t>
      </w:r>
      <w:r>
        <w:rPr>
          <w:rFonts w:ascii="Times New Roman" w:hAnsi="Times New Roman"/>
          <w:b w:val="false"/>
          <w:i w:val="false"/>
          <w:color w:val="000000"/>
          <w:sz w:val="21"/>
        </w:rPr>
        <w:t xml:space="preserve"> (Notice ARC 4787C, IAB 12/4/19)</w:t>
      </w:r>
      <w:r>
        <w:rPr>
          <w:rFonts w:ascii="Times New Roman" w:hAnsi="Times New Roman"/>
          <w:b w:val="false"/>
          <w:i w:val="false"/>
          <w:color w:val="000000"/>
          <w:sz w:val="21"/>
        </w:rPr>
        <w:t>, IAB 2/12/20, effective 4/1/20]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1.6.pdf" Type="http://schemas.openxmlformats.org/officeDocument/2006/relationships/hyperlink" Id="rId5"/>
    <Relationship TargetMode="External" Target="https://www.legis.iowa.gov/docs/ico/chapter/11.6.pdf" Type="http://schemas.openxmlformats.org/officeDocument/2006/relationships/hyperlink" Id="rId6"/>
    <Relationship TargetMode="External" Target="https://www.legis.iowa.gov/docs/ico/chapter/11.6.pdf" Type="http://schemas.openxmlformats.org/officeDocument/2006/relationships/hyperlink" Id="rId7"/>
    <Relationship TargetMode="External" Target="https://www.legis.iowa.gov/docs/ico/chapter/11.6.pdf" Type="http://schemas.openxmlformats.org/officeDocument/2006/relationships/hyperlink" Id="rId8"/>
    <Relationship TargetMode="External" Target="https://www.legis.iowa.gov/docs/ico/chapter/11.6.pdf" Type="http://schemas.openxmlformats.org/officeDocument/2006/relationships/hyperlink" Id="rId9"/>
    <Relationship TargetMode="External" Target="https://www.legis.iowa.gov/docs/ico/chapter/11.6.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