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COUNTY COMMISSIONS OF VETERAN AFFAIRS FUND AND TRAINING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9/9/31</w:t>
      </w:r>
    </w:p>
    <w:p>
      <w:pPr>
        <w:spacing w:before="0" w:after="0"/>
        <w:ind w:left="120"/>
        <w:jc w:val="both"/>
      </w:pPr>
      <w:r>
        <w:rPr>
          <w:rFonts w:ascii="Times New Roman" w:hAnsi="Times New Roman"/>
          <w:b/>
          <w:i w:val="false"/>
          <w:color w:val="000000"/>
          <w:sz w:val="22"/>
        </w:rPr>
        <w:t>801—7.1</w:t>
      </w:r>
      <w:r>
        <w:rPr>
          <w:rFonts w:ascii="Times New Roman" w:hAnsi="Times New Roman"/>
          <w:b/>
          <w:i w:val="false"/>
          <w:color w:val="000000"/>
          <w:sz w:val="22"/>
        </w:rPr>
        <w:t xml:space="preserve">(35A,35B) </w:t>
      </w:r>
      <w:r>
        <w:rPr>
          <w:rFonts w:ascii="Times New Roman" w:hAnsi="Times New Roman"/>
          <w:b/>
          <w:i w:val="false"/>
          <w:color w:val="000000"/>
          <w:sz w:val="22"/>
        </w:rPr>
        <w:t xml:space="preserve">County commissions of veteran affairs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 county commissions of veteran affairs fund is to assist county commissions of veteran affairs in complying with legislative requirements for employing a county veterans service officer who complies with all directives of the commandant of the Iowa department of veterans affairs regarding the completion of training or certification required for the person’s position under applicable state and federal law, maintains an active Personal Identification Verification (PIV) card necessary to access the Veterans Administration’s Veterans Benefit Management System, is employed in veterans affairs service for a minimum number of hours, and maintains an office in a location owned or leased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w:t>
      </w:r>
      <w:r>
        <w:rPr>
          <w:rFonts w:ascii="Times New Roman" w:hAnsi="Times New Roman"/>
          <w:b w:val="false"/>
          <w:i w:val="false"/>
          <w:color w:val="000000"/>
          <w:sz w:val="22"/>
        </w:rPr>
        <w:t> </w:t>
      </w:r>
      <w:r>
        <w:rPr>
          <w:rFonts w:ascii="Times New Roman" w:hAnsi="Times New Roman"/>
          <w:b w:val="false"/>
          <w:i/>
          <w:color w:val="000000"/>
          <w:sz w:val="22"/>
        </w:rPr>
        <w:t xml:space="preserve">County training allocation amounts. </w:t>
      </w:r>
      <w:r>
        <w:rPr>
          <w:rFonts w:ascii="Times New Roman" w:hAnsi="Times New Roman"/>
          <w:b w:val="false"/>
          <w:i w:val="false"/>
          <w:color w:val="000000"/>
          <w:sz w:val="22"/>
        </w:rPr>
        <w:t xml:space="preserve">Counties requesting reimbursement from the department in accordance with Iowa Code section </w:t>
      </w:r>
      <w:hyperlink r:id="rId5">
        <w:r>
          <w:rPr>
            <w:rStyle w:val="Hyperlink"/>
            <w:rFonts w:ascii="Times New Roman" w:hAnsi="Times New Roman"/>
            <w:b w:val="false"/>
            <w:i w:val="false"/>
            <w:color w:val="000000"/>
            <w:sz w:val="22"/>
          </w:rPr>
          <w:t>35A.16(4)</w:t>
        </w:r>
      </w:hyperlink>
      <w:r>
        <w:rPr>
          <w:rFonts w:ascii="Times New Roman" w:hAnsi="Times New Roman"/>
          <w:b w:val="false"/>
          <w:i w:val="false"/>
          <w:color w:val="000000"/>
          <w:sz w:val="22"/>
        </w:rPr>
        <w:t xml:space="preserve"> will make their requests in accordance with state travel policies. Required supporting documentation for eligible expenses shall be submitted during the fiscal year up to the $3,000 annual allocation within 30 days of training completion but no later than June 30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w:t>
      </w:r>
      <w:r>
        <w:rPr>
          <w:rFonts w:ascii="Times New Roman" w:hAnsi="Times New Roman"/>
          <w:b w:val="false"/>
          <w:i w:val="false"/>
          <w:color w:val="000000"/>
          <w:sz w:val="22"/>
        </w:rPr>
        <w:t> </w:t>
      </w:r>
      <w:r>
        <w:rPr>
          <w:rFonts w:ascii="Times New Roman" w:hAnsi="Times New Roman"/>
          <w:b w:val="false"/>
          <w:i/>
          <w:color w:val="000000"/>
          <w:sz w:val="22"/>
        </w:rPr>
        <w:t xml:space="preserve">Allocation report. </w:t>
      </w:r>
      <w:r>
        <w:rPr>
          <w:rFonts w:ascii="Times New Roman" w:hAnsi="Times New Roman"/>
          <w:b w:val="false"/>
          <w:i w:val="false"/>
          <w:color w:val="000000"/>
          <w:sz w:val="22"/>
        </w:rPr>
        <w:t>Counties shall submit a written report to the department 30 days following the end of the fiscal year in which the allocation was received. The report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of county veteran affairs services, including county population, verification of an office, hours of employment, and number of hours of veterans’ services provided by the county veterans service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county veterans service officer is performing required duties and maintaining qualifications and credentials pursuant to Iowa Code section </w:t>
      </w:r>
      <w:hyperlink r:id="rId6">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comprehensive summary of county veteran affairs expenditures for the fiscal year in which the allocation was received and the expenditures from the previous fiscal year.</w:t>
      </w:r>
    </w:p>
    <w:p>
      <w:pPr>
        <w:spacing w:before="0" w:after="0"/>
        <w:ind w:left="120"/>
        <w:jc w:val="both"/>
      </w:pPr>
      <w:r>
        <w:rPr>
          <w:rFonts w:ascii="Times New Roman" w:hAnsi="Times New Roman"/>
          <w:b w:val="false"/>
          <w:i w:val="false"/>
          <w:color w:val="000000"/>
          <w:sz w:val="22"/>
        </w:rPr>
        <w:t xml:space="preserve">Information provided in this report is used by the department to comply with rule </w:t>
      </w:r>
      <w:hyperlink r:id="rId7">
        <w:r>
          <w:rPr>
            <w:rStyle w:val="Hyperlink"/>
            <w:rFonts w:ascii="Times New Roman" w:hAnsi="Times New Roman"/>
            <w:b w:val="false"/>
            <w:i w:val="false"/>
            <w:color w:val="000000"/>
            <w:sz w:val="22"/>
          </w:rPr>
          <w:t>801—7.3(35A,35B)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w:t>
      </w:r>
      <w:r>
        <w:rPr>
          <w:rFonts w:ascii="Times New Roman" w:hAnsi="Times New Roman"/>
          <w:b w:val="false"/>
          <w:i w:val="false"/>
          <w:color w:val="000000"/>
          <w:sz w:val="22"/>
        </w:rPr>
        <w:t> </w:t>
      </w:r>
      <w:r>
        <w:rPr>
          <w:rFonts w:ascii="Times New Roman" w:hAnsi="Times New Roman"/>
          <w:b w:val="false"/>
          <w:i/>
          <w:color w:val="000000"/>
          <w:sz w:val="22"/>
        </w:rPr>
        <w:t xml:space="preserve">Recovery of funds. </w:t>
      </w:r>
      <w:r>
        <w:rPr>
          <w:rFonts w:ascii="Times New Roman" w:hAnsi="Times New Roman"/>
          <w:b w:val="false"/>
          <w:i w:val="false"/>
          <w:color w:val="000000"/>
          <w:sz w:val="22"/>
        </w:rPr>
        <w:t>The department is the entity charged with the recovery of county commissions of veteran affairs fund allocations from counties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Unauthorized use. </w:t>
      </w:r>
      <w:r>
        <w:rPr>
          <w:rFonts w:ascii="Times New Roman" w:hAnsi="Times New Roman"/>
          <w:b w:val="false"/>
          <w:i w:val="false"/>
          <w:color w:val="000000"/>
          <w:sz w:val="22"/>
        </w:rPr>
        <w:t xml:space="preserve">Counties expending a portion of the allocation on items that do not provide services to veterans pursuant to Iowa Code section </w:t>
      </w:r>
      <w:hyperlink r:id="rId8">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will be required to return the unauthorized funds to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Maintenance of effort. </w:t>
      </w:r>
      <w:r>
        <w:rPr>
          <w:rFonts w:ascii="Times New Roman" w:hAnsi="Times New Roman"/>
          <w:b w:val="false"/>
          <w:i w:val="false"/>
          <w:color w:val="000000"/>
          <w:sz w:val="22"/>
        </w:rPr>
        <w:t xml:space="preserve">Counties not maintaining their previous fiscal year’s spending levels will be considered to have supplanted county funding with state allocation funds. Counties not complying with their maintenance of effort will be required to return the supplanted portion to the state of Iowa pursuant to Iowa Code section </w:t>
      </w:r>
      <w:hyperlink r:id="rId9">
        <w:r>
          <w:rPr>
            <w:rStyle w:val="Hyperlink"/>
            <w:rFonts w:ascii="Times New Roman" w:hAnsi="Times New Roman"/>
            <w:b w:val="false"/>
            <w:i w:val="false"/>
            <w:color w:val="000000"/>
            <w:sz w:val="22"/>
          </w:rPr>
          <w:t>35A.16(3)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Noncompliance. </w:t>
      </w:r>
      <w:r>
        <w:rPr>
          <w:rFonts w:ascii="Times New Roman" w:hAnsi="Times New Roman"/>
          <w:b w:val="false"/>
          <w:i w:val="false"/>
          <w:color w:val="000000"/>
          <w:sz w:val="22"/>
        </w:rPr>
        <w:t xml:space="preserve">Counties that are not in compliance with the requirements of Iowa Code section </w:t>
      </w:r>
      <w:hyperlink r:id="rId10">
        <w:r>
          <w:rPr>
            <w:rStyle w:val="Hyperlink"/>
            <w:rFonts w:ascii="Times New Roman" w:hAnsi="Times New Roman"/>
            <w:b w:val="false"/>
            <w:i w:val="false"/>
            <w:color w:val="000000"/>
            <w:sz w:val="22"/>
          </w:rPr>
          <w:t>35B.6</w:t>
        </w:r>
      </w:hyperlink>
      <w:r>
        <w:rPr>
          <w:rFonts w:ascii="Times New Roman" w:hAnsi="Times New Roman"/>
          <w:b w:val="false"/>
          <w:i w:val="false"/>
          <w:color w:val="000000"/>
          <w:sz w:val="22"/>
        </w:rPr>
        <w:t xml:space="preserve"> on June 30 of each fiscal year will be required to return all moneys received during that fiscal year to the county commissions of veteran affairs fund pursuant to Iowa Code section </w:t>
      </w:r>
      <w:hyperlink r:id="rId11">
        <w:r>
          <w:rPr>
            <w:rStyle w:val="Hyperlink"/>
            <w:rFonts w:ascii="Times New Roman" w:hAnsi="Times New Roman"/>
            <w:b w:val="false"/>
            <w:i w:val="false"/>
            <w:color w:val="000000"/>
            <w:sz w:val="22"/>
          </w:rPr>
          <w:t>35A.16(3)</w:t>
        </w:r>
      </w:hyperlink>
      <w:r>
        <w:rPr>
          <w:rFonts w:ascii="Times New Roman" w:hAnsi="Times New Roman"/>
          <w:b w:val="false"/>
          <w:i w:val="false"/>
          <w:color w:val="000000"/>
          <w:sz w:val="22"/>
        </w:rPr>
        <w:t>. Counties that are deemed noncompliant due to the termination or resignation of an employee are not required to return the state allocation if an employee is hired within three months of the previous employee’s separation.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0469D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801—7.2</w:t>
      </w:r>
      <w:r>
        <w:rPr>
          <w:rFonts w:ascii="Times New Roman" w:hAnsi="Times New Roman"/>
          <w:b/>
          <w:i w:val="false"/>
          <w:color w:val="000000"/>
          <w:sz w:val="22"/>
        </w:rPr>
        <w:t xml:space="preserve">(35A,35B) </w:t>
      </w:r>
      <w:r>
        <w:rPr>
          <w:rFonts w:ascii="Times New Roman" w:hAnsi="Times New Roman"/>
          <w:b/>
          <w:i w:val="false"/>
          <w:color w:val="000000"/>
          <w:sz w:val="22"/>
        </w:rPr>
        <w:t xml:space="preserve">County commission of veteran affairs training program. </w:t>
      </w:r>
      <w:r>
        <w:rPr>
          <w:rFonts w:ascii="Times New Roman" w:hAnsi="Times New Roman"/>
          <w:b w:val="false"/>
          <w:i w:val="false"/>
          <w:color w:val="000000"/>
          <w:sz w:val="22"/>
        </w:rPr>
        <w:t xml:space="preserve">The department provides training for county veterans service officers in accordance with Iowa Code section </w:t>
      </w:r>
      <w:hyperlink r:id="rId12">
        <w:r>
          <w:rPr>
            <w:rStyle w:val="Hyperlink"/>
            <w:rFonts w:ascii="Times New Roman" w:hAnsi="Times New Roman"/>
            <w:b w:val="false"/>
            <w:i w:val="false"/>
            <w:color w:val="000000"/>
            <w:sz w:val="22"/>
          </w:rPr>
          <w:t>35A.5(6)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veterans service officers shall do the following within one year of appointment or will be subject to removal from office as provided for in Iowa Code section </w:t>
      </w:r>
      <w:hyperlink r:id="rId13">
        <w:r>
          <w:rPr>
            <w:rStyle w:val="Hyperlink"/>
            <w:rFonts w:ascii="Times New Roman" w:hAnsi="Times New Roman"/>
            <w:b w:val="false"/>
            <w:i w:val="false"/>
            <w:color w:val="000000"/>
            <w:sz w:val="22"/>
          </w:rPr>
          <w:t>35B.6(1)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and maintain all certifications that are federally required and provide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training as directed by the commandant of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Obtain and maintain a PIV card from the United States Department of Veterans Affairs as well as access to the Veterans Benefits Management System and provide the department with documentation. Upon request from a county commission of veteran affairs and based on extenuating circumstances, the commandant may extend the time frame for a veteran service officer to obtain a PIV card prior to being subject to removal from office. The decision of the commandant is final.</w:t>
      </w:r>
    </w:p>
    <w:p>
      <w:pPr>
        <w:spacing w:before="0" w:after="0"/>
        <w:ind w:left="120"/>
        <w:jc w:val="both"/>
      </w:pPr>
      <w:r>
        <w:rPr>
          <w:rFonts w:ascii="Times New Roman" w:hAnsi="Times New Roman"/>
          <w:b w:val="false"/>
          <w:i w:val="false"/>
          <w:color w:val="000000"/>
          <w:sz w:val="22"/>
        </w:rPr>
        <w:t>Counties shall submit to the department annually by July 30 all documentation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veterans service officers shall complete the following on an annual basis or will be subject to removal from office as provided for in Iowa Code section </w:t>
      </w:r>
      <w:hyperlink r:id="rId14">
        <w:r>
          <w:rPr>
            <w:rStyle w:val="Hyperlink"/>
            <w:rFonts w:ascii="Times New Roman" w:hAnsi="Times New Roman"/>
            <w:b w:val="false"/>
            <w:i w:val="false"/>
            <w:color w:val="000000"/>
            <w:sz w:val="22"/>
          </w:rPr>
          <w:t>35B.6(1)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all certifications that are federally required and annually provide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Comply with all directives of the commandant of the Iowa department of veterans affairs regarding the completion of training or certification required for the person’s position under applicable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a PIV card from the United States Department of Veterans Affairs as well as access to the Veterans Benefits Management System.</w:t>
      </w:r>
    </w:p>
    <w:p>
      <w:pPr>
        <w:spacing w:before="0" w:after="0"/>
        <w:ind w:left="120"/>
        <w:jc w:val="both"/>
      </w:pPr>
      <w:r>
        <w:rPr>
          <w:rFonts w:ascii="Times New Roman" w:hAnsi="Times New Roman"/>
          <w:b w:val="false"/>
          <w:i w:val="false"/>
          <w:color w:val="000000"/>
          <w:sz w:val="22"/>
        </w:rPr>
        <w:t>Counties shall submit to the department annually by July 30 all documentation required by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veterans service officers who fail to comply with subrules </w:t>
      </w:r>
      <w:hyperlink r:id="rId15">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 xml:space="preserve"> shall be removed from their positions. Knowing violation of this provision constitutes noncompliance as provided in paragraph </w:t>
      </w:r>
      <w:hyperlink r:id="rId17">
        <w:r>
          <w:rPr>
            <w:rStyle w:val="Hyperlink"/>
            <w:rFonts w:ascii="Times New Roman" w:hAnsi="Times New Roman"/>
            <w:b w:val="false"/>
            <w:i w:val="false"/>
            <w:color w:val="000000"/>
            <w:sz w:val="22"/>
          </w:rPr>
          <w:t>7.1(4)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The annual school of instruction and all associated training materials will be provided at the expense of the department and attendees will not be charged for participation in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 xml:space="preserve">Travel, meals, lodging, and miscellaneous expenses incurred while attending the annual school of instruction required by subrules </w:t>
      </w:r>
      <w:hyperlink r:id="rId18">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 xml:space="preserve"> are the responsibility of the respective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w:t>
      </w:r>
      <w:r>
        <w:rPr>
          <w:rFonts w:ascii="Times New Roman" w:hAnsi="Times New Roman"/>
          <w:b w:val="false"/>
          <w:i w:val="false"/>
          <w:color w:val="000000"/>
          <w:sz w:val="22"/>
        </w:rPr>
        <w:t> </w:t>
      </w:r>
      <w:r>
        <w:rPr>
          <w:rFonts w:ascii="Times New Roman" w:hAnsi="Times New Roman"/>
          <w:b w:val="false"/>
          <w:i w:val="false"/>
          <w:color w:val="000000"/>
          <w:sz w:val="22"/>
        </w:rPr>
        <w:t>Any cost of initial training, accreditation, and continuing training that uses state funds shall follow the department’s travel policy. The department’s travel policy overrides county-specific travel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maintain documentation regarding any school of instruction required by subrules </w:t>
      </w:r>
      <w:hyperlink r:id="rId20">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 including but not limited to agendas, presentation dates, attendees, certificate of satisfactory completion of accreditation or continuing education training, and the issuance of certificates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w:t>
      </w:r>
      <w:r>
        <w:rPr>
          <w:rFonts w:ascii="Times New Roman" w:hAnsi="Times New Roman"/>
          <w:b w:val="false"/>
          <w:i w:val="false"/>
          <w:color w:val="000000"/>
          <w:sz w:val="22"/>
        </w:rPr>
        <w:t> </w:t>
      </w:r>
      <w:r>
        <w:rPr>
          <w:rFonts w:ascii="Times New Roman" w:hAnsi="Times New Roman"/>
          <w:b w:val="false"/>
          <w:i w:val="false"/>
          <w:color w:val="000000"/>
          <w:sz w:val="22"/>
        </w:rPr>
        <w:t>Inquiries regarding an annual school of instruction may be directed to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w:t>
      </w:r>
      <w:r>
        <w:rPr>
          <w:rFonts w:ascii="Times New Roman" w:hAnsi="Times New Roman"/>
          <w:b w:val="false"/>
          <w:i w:val="false"/>
          <w:color w:val="000000"/>
          <w:sz w:val="22"/>
        </w:rPr>
        <w:t> </w:t>
      </w:r>
      <w:r>
        <w:rPr>
          <w:rFonts w:ascii="Times New Roman" w:hAnsi="Times New Roman"/>
          <w:b w:val="false"/>
          <w:i w:val="false"/>
          <w:color w:val="000000"/>
          <w:sz w:val="22"/>
        </w:rPr>
        <w:t>Disputes regarding the annual school of instruction, certificates of training, and related matters are reviewed by the commandant, who will render a decision within ten days of receipt of all relevant facts and supporting materials. The decision of the commandant is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0469D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801—7.3</w:t>
      </w:r>
      <w:r>
        <w:rPr>
          <w:rFonts w:ascii="Times New Roman" w:hAnsi="Times New Roman"/>
          <w:b/>
          <w:i w:val="false"/>
          <w:color w:val="000000"/>
          <w:sz w:val="22"/>
        </w:rPr>
        <w:t xml:space="preserve">(35A,35B) </w:t>
      </w:r>
      <w:r>
        <w:rPr>
          <w:rFonts w:ascii="Times New Roman" w:hAnsi="Times New Roman"/>
          <w:b/>
          <w:i w:val="false"/>
          <w:color w:val="000000"/>
          <w:sz w:val="22"/>
        </w:rPr>
        <w:t xml:space="preserve">Report to the general assembly. </w:t>
      </w:r>
      <w:r>
        <w:rPr>
          <w:rFonts w:ascii="Times New Roman" w:hAnsi="Times New Roman"/>
          <w:b w:val="false"/>
          <w:i w:val="false"/>
          <w:color w:val="000000"/>
          <w:sz w:val="22"/>
        </w:rPr>
        <w:t xml:space="preserve">To assist the department to prepare its annual report required by Iowa Code section </w:t>
      </w:r>
      <w:hyperlink r:id="rId22">
        <w:r>
          <w:rPr>
            <w:rStyle w:val="Hyperlink"/>
            <w:rFonts w:ascii="Times New Roman" w:hAnsi="Times New Roman"/>
            <w:b w:val="false"/>
            <w:i w:val="false"/>
            <w:color w:val="000000"/>
            <w:sz w:val="22"/>
          </w:rPr>
          <w:t>35A.5(14)</w:t>
        </w:r>
      </w:hyperlink>
      <w:r>
        <w:rPr>
          <w:rFonts w:ascii="Times New Roman" w:hAnsi="Times New Roman"/>
          <w:b w:val="false"/>
          <w:i w:val="false"/>
          <w:color w:val="000000"/>
          <w:sz w:val="22"/>
        </w:rPr>
        <w:t xml:space="preserve">, each county commission of veteran affairs shall provide information required in Iowa Code section </w:t>
      </w:r>
      <w:hyperlink r:id="rId23">
        <w:r>
          <w:rPr>
            <w:rStyle w:val="Hyperlink"/>
            <w:rFonts w:ascii="Times New Roman" w:hAnsi="Times New Roman"/>
            <w:b w:val="false"/>
            <w:i w:val="false"/>
            <w:color w:val="000000"/>
            <w:sz w:val="22"/>
          </w:rPr>
          <w:t>35A.5(14)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The department will provide each county executive director or administrator with a form to return to the department by July 30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0469D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35A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7824B</w:t>
      </w:r>
      <w:r>
        <w:rPr>
          <w:rFonts w:ascii="Times New Roman" w:hAnsi="Times New Roman"/>
          <w:b w:val="false"/>
          <w:i w:val="false"/>
          <w:color w:val="000000"/>
          <w:sz w:val="21"/>
        </w:rPr>
        <w:t xml:space="preserve"> (Notice ARC 7660B,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9183C</w:t>
      </w:r>
      <w:r>
        <w:rPr>
          <w:rFonts w:ascii="Times New Roman" w:hAnsi="Times New Roman"/>
          <w:b w:val="false"/>
          <w:i w:val="false"/>
          <w:color w:val="000000"/>
          <w:sz w:val="21"/>
        </w:rPr>
        <w:t xml:space="preserve"> (Notice ARC 8583C, IAB 12/25/24)</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[Filed ARC 0469D</w:t>
      </w:r>
      <w:r>
        <w:rPr>
          <w:rFonts w:ascii="Times New Roman" w:hAnsi="Times New Roman"/>
          <w:b w:val="false"/>
          <w:i w:val="false"/>
          <w:color w:val="000000"/>
          <w:sz w:val="21"/>
        </w:rPr>
        <w:t xml:space="preserve"> (Amended Notice ARC 0332D, IAB 6/10/26; </w:t>
      </w:r>
      <w:r>
        <w:rPr>
          <w:rFonts w:ascii="Times New Roman" w:hAnsi="Times New Roman"/>
          <w:b w:val="false"/>
          <w:i w:val="false"/>
          <w:color w:val="000000"/>
          <w:sz w:val="21"/>
        </w:rPr>
        <w:t>Notice ARC 0191D, IAB 4/15/26)</w:t>
      </w:r>
      <w:r>
        <w:rPr>
          <w:rFonts w:ascii="Times New Roman" w:hAnsi="Times New Roman"/>
          <w:b w:val="false"/>
          <w:i w:val="false"/>
          <w:color w:val="000000"/>
          <w:sz w:val="21"/>
        </w:rPr>
        <w:t>, IAB 8/5/26, effective 9/9/26]</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5A.16.pdf" Type="http://schemas.openxmlformats.org/officeDocument/2006/relationships/hyperlink" Id="rId5"/>
    <Relationship TargetMode="External" Target="https://www.legis.iowa.gov/docs/ico/chapter/35B.6.pdf" Type="http://schemas.openxmlformats.org/officeDocument/2006/relationships/hyperlink" Id="rId6"/>
    <Relationship TargetMode="External" Target="https://www.legis.iowa.gov/docs/iac/rule/801.7.3.pdf" Type="http://schemas.openxmlformats.org/officeDocument/2006/relationships/hyperlink" Id="rId7"/>
    <Relationship TargetMode="External" Target="https://www.legis.iowa.gov/docs/ico/chapter/35B.6.pdf" Type="http://schemas.openxmlformats.org/officeDocument/2006/relationships/hyperlink" Id="rId8"/>
    <Relationship TargetMode="External" Target="https://www.legis.iowa.gov/docs/ico/chapter/35A.16.pdf" Type="http://schemas.openxmlformats.org/officeDocument/2006/relationships/hyperlink" Id="rId9"/>
    <Relationship TargetMode="External" Target="https://www.legis.iowa.gov/docs/ico/chapter/35B.6.pdf" Type="http://schemas.openxmlformats.org/officeDocument/2006/relationships/hyperlink" Id="rId10"/>
    <Relationship TargetMode="External" Target="https://www.legis.iowa.gov/docs/ico/chapter/35A.16.pdf" Type="http://schemas.openxmlformats.org/officeDocument/2006/relationships/hyperlink" Id="rId11"/>
    <Relationship TargetMode="External" Target="https://www.legis.iowa.gov/docs/ico/chapter/35A.5.pdf" Type="http://schemas.openxmlformats.org/officeDocument/2006/relationships/hyperlink" Id="rId12"/>
    <Relationship TargetMode="External" Target="https://www.legis.iowa.gov/docs/ico/chapter/35B.6.pdf" Type="http://schemas.openxmlformats.org/officeDocument/2006/relationships/hyperlink" Id="rId13"/>
    <Relationship TargetMode="External" Target="https://www.legis.iowa.gov/docs/ico/chapter/35B.6.pdf" Type="http://schemas.openxmlformats.org/officeDocument/2006/relationships/hyperlink" Id="rId14"/>
    <Relationship TargetMode="External" Target="https://www.legis.iowa.gov/docs/iac/rule/801.7.2.pdf" Type="http://schemas.openxmlformats.org/officeDocument/2006/relationships/hyperlink" Id="rId15"/>
    <Relationship TargetMode="External" Target="https://www.legis.iowa.gov/docs/iac/rule/801.7.2.pdf" Type="http://schemas.openxmlformats.org/officeDocument/2006/relationships/hyperlink" Id="rId16"/>
    <Relationship TargetMode="External" Target="https://www.legis.iowa.gov/docs/iac/rule/801.7.1.pdf" Type="http://schemas.openxmlformats.org/officeDocument/2006/relationships/hyperlink" Id="rId17"/>
    <Relationship TargetMode="External" Target="https://www.legis.iowa.gov/docs/iac/rule/801.7.2.pdf" Type="http://schemas.openxmlformats.org/officeDocument/2006/relationships/hyperlink" Id="rId18"/>
    <Relationship TargetMode="External" Target="https://www.legis.iowa.gov/docs/iac/rule/801.7.2.pdf" Type="http://schemas.openxmlformats.org/officeDocument/2006/relationships/hyperlink" Id="rId19"/>
    <Relationship TargetMode="External" Target="https://www.legis.iowa.gov/docs/iac/rule/801.7.2.pdf" Type="http://schemas.openxmlformats.org/officeDocument/2006/relationships/hyperlink" Id="rId20"/>
    <Relationship TargetMode="External" Target="https://www.legis.iowa.gov/docs/iac/rule/801.7.2.pdf" Type="http://schemas.openxmlformats.org/officeDocument/2006/relationships/hyperlink" Id="rId21"/>
    <Relationship TargetMode="External" Target="https://www.legis.iowa.gov/docs/ico/chapter/35A.5.pdf" Type="http://schemas.openxmlformats.org/officeDocument/2006/relationships/hyperlink" Id="rId22"/>
    <Relationship TargetMode="External" Target="https://www.legis.iowa.gov/docs/ico/chapter/35A.5.pdf" Type="http://schemas.openxmlformats.org/officeDocument/2006/relationships/hyperlink" Id="rId23"/>
    <Relationship TargetMode="External" Target="https://www.legis.iowa.gov/docs/ico/chapter/35A.pdf" Type="http://schemas.openxmlformats.org/officeDocument/2006/relationships/hyperlink" Id="rId24"/>
    <Relationship TargetMode="External" Target="https://www.legis.iowa.gov/docs/ico/chapter/35B.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