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VETERANS LICENSE FEE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801—17.1</w:t>
      </w:r>
      <w:r>
        <w:rPr>
          <w:rFonts w:ascii="Times New Roman" w:hAnsi="Times New Roman"/>
          <w:b/>
          <w:i w:val="false"/>
          <w:color w:val="000000"/>
          <w:sz w:val="22"/>
        </w:rPr>
        <w:t xml:space="preserve">(35A) </w:t>
      </w:r>
      <w:r>
        <w:rPr>
          <w:rFonts w:ascii="Times New Roman" w:hAnsi="Times New Roman"/>
          <w:b/>
          <w:i w:val="false"/>
          <w:color w:val="000000"/>
          <w:sz w:val="22"/>
        </w:rPr>
        <w:t xml:space="preserve">Purpose. </w:t>
      </w:r>
      <w:r>
        <w:rPr>
          <w:rFonts w:ascii="Times New Roman" w:hAnsi="Times New Roman"/>
          <w:b w:val="false"/>
          <w:i w:val="false"/>
          <w:color w:val="000000"/>
          <w:sz w:val="22"/>
        </w:rPr>
        <w:t>These rules establish authorized expenditures from the veterans license fee fund. Authorized expenditures will meet the department’s mission to educate, inspire, support, and remember,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w:t>
      </w:r>
      <w:r>
        <w:rPr>
          <w:rFonts w:ascii="Times New Roman" w:hAnsi="Times New Roman"/>
          <w:b w:val="false"/>
          <w:i w:val="false"/>
          <w:color w:val="000000"/>
          <w:sz w:val="22"/>
        </w:rPr>
        <w:t> </w:t>
      </w:r>
      <w:r>
        <w:rPr>
          <w:rFonts w:ascii="Times New Roman" w:hAnsi="Times New Roman"/>
          <w:b w:val="false"/>
          <w:i w:val="false"/>
          <w:color w:val="000000"/>
          <w:sz w:val="22"/>
        </w:rPr>
        <w:t xml:space="preserve">Educate. Provide marketing materials, resources, books, and updated manuals to keep the veterans community updated on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w:t>
      </w:r>
      <w:r>
        <w:rPr>
          <w:rFonts w:ascii="Times New Roman" w:hAnsi="Times New Roman"/>
          <w:b w:val="false"/>
          <w:i w:val="false"/>
          <w:color w:val="000000"/>
          <w:sz w:val="22"/>
        </w:rPr>
        <w:t> </w:t>
      </w:r>
      <w:r>
        <w:rPr>
          <w:rFonts w:ascii="Times New Roman" w:hAnsi="Times New Roman"/>
          <w:b w:val="false"/>
          <w:i w:val="false"/>
          <w:color w:val="000000"/>
          <w:sz w:val="22"/>
        </w:rPr>
        <w:t xml:space="preserve">Inspire. Ensure community and nonprofit organizations receive funds to promote public initiatives that honor military service and inspire esprit de corps amongst service branches.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w:t>
      </w:r>
      <w:r>
        <w:rPr>
          <w:rFonts w:ascii="Times New Roman" w:hAnsi="Times New Roman"/>
          <w:b w:val="false"/>
          <w:i w:val="false"/>
          <w:color w:val="000000"/>
          <w:sz w:val="22"/>
        </w:rPr>
        <w:t> </w:t>
      </w:r>
      <w:r>
        <w:rPr>
          <w:rFonts w:ascii="Times New Roman" w:hAnsi="Times New Roman"/>
          <w:b w:val="false"/>
          <w:i w:val="false"/>
          <w:color w:val="000000"/>
          <w:sz w:val="22"/>
        </w:rPr>
        <w:t>Support. Provide funding support to nationally accredited veteran service organizations within the state of Iowa that aid and assist service members within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w:t>
      </w:r>
      <w:r>
        <w:rPr>
          <w:rFonts w:ascii="Times New Roman" w:hAnsi="Times New Roman"/>
          <w:b w:val="false"/>
          <w:i w:val="false"/>
          <w:color w:val="000000"/>
          <w:sz w:val="22"/>
        </w:rPr>
        <w:t> </w:t>
      </w:r>
      <w:r>
        <w:rPr>
          <w:rFonts w:ascii="Times New Roman" w:hAnsi="Times New Roman"/>
          <w:b w:val="false"/>
          <w:i w:val="false"/>
          <w:color w:val="000000"/>
          <w:sz w:val="22"/>
        </w:rPr>
        <w:t>Remember. Fund community and nonprofit programs that remember and honor Iowa’s fallen heroes to keep the memory of their sacrifices and service alive for generations.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0057C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6763C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801—17.2</w:t>
      </w:r>
      <w:r>
        <w:rPr>
          <w:rFonts w:ascii="Times New Roman" w:hAnsi="Times New Roman"/>
          <w:b/>
          <w:i w:val="false"/>
          <w:color w:val="000000"/>
          <w:sz w:val="22"/>
        </w:rPr>
        <w:t xml:space="preserve">(35A) </w:t>
      </w:r>
      <w:r>
        <w:rPr>
          <w:rFonts w:ascii="Times New Roman" w:hAnsi="Times New Roman"/>
          <w:b/>
          <w:i w:val="false"/>
          <w:color w:val="000000"/>
          <w:sz w:val="22"/>
        </w:rPr>
        <w:t xml:space="preserve">Moneys. </w:t>
      </w:r>
      <w:r>
        <w:rPr>
          <w:rFonts w:ascii="Times New Roman" w:hAnsi="Times New Roman"/>
          <w:b w:val="false"/>
          <w:i w:val="false"/>
          <w:color w:val="000000"/>
          <w:sz w:val="22"/>
        </w:rPr>
        <w:t>Moneys in this fund may be used for the administrative expenses related to the business of the Iowa commission of veterans affairs, to include mileage, per diem, conference call capabilities, printing costs for quarterly meetings, expenses incurred for hearings at the Iowa Veterans Home, and nationally accredited veterans service organizations.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0057C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6763C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801—17.3</w:t>
      </w:r>
      <w:r>
        <w:rPr>
          <w:rFonts w:ascii="Times New Roman" w:hAnsi="Times New Roman"/>
          <w:b/>
          <w:i w:val="false"/>
          <w:color w:val="000000"/>
          <w:sz w:val="22"/>
        </w:rPr>
        <w:t xml:space="preserve">(35A) </w:t>
      </w:r>
      <w:r>
        <w:rPr>
          <w:rFonts w:ascii="Times New Roman" w:hAnsi="Times New Roman"/>
          <w:b/>
          <w:i w:val="false"/>
          <w:color w:val="000000"/>
          <w:sz w:val="22"/>
        </w:rPr>
        <w:t xml:space="preserve">Expenditures. </w:t>
      </w:r>
      <w:r>
        <w:rPr>
          <w:rFonts w:ascii="Times New Roman" w:hAnsi="Times New Roman"/>
          <w:b w:val="false"/>
          <w:i w:val="false"/>
          <w:color w:val="000000"/>
          <w:sz w:val="22"/>
        </w:rPr>
        <w:t>Moneys in this fund may be used for expenditures that have the intent to benefit all Iowa veterans. (Examples include benefit books, educational materials, and outreach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0057C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6763C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801—17.4</w:t>
      </w:r>
      <w:r>
        <w:rPr>
          <w:rFonts w:ascii="Times New Roman" w:hAnsi="Times New Roman"/>
          <w:b/>
          <w:i w:val="false"/>
          <w:color w:val="000000"/>
          <w:sz w:val="22"/>
        </w:rPr>
        <w:t xml:space="preserve">(35A) </w:t>
      </w:r>
      <w:r>
        <w:rPr>
          <w:rFonts w:ascii="Times New Roman" w:hAnsi="Times New Roman"/>
          <w:b/>
          <w:i w:val="false"/>
          <w:color w:val="000000"/>
          <w:sz w:val="22"/>
        </w:rPr>
        <w:t xml:space="preserve">Administration. </w:t>
      </w:r>
      <w:r>
        <w:rPr>
          <w:rFonts w:ascii="Times New Roman" w:hAnsi="Times New Roman"/>
          <w:b w:val="false"/>
          <w:i w:val="false"/>
          <w:color w:val="000000"/>
          <w:sz w:val="22"/>
        </w:rPr>
        <w:t>This fund will be administered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0057C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35A.11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0057C</w:t>
      </w:r>
      <w:r>
        <w:rPr>
          <w:rFonts w:ascii="Times New Roman" w:hAnsi="Times New Roman"/>
          <w:b w:val="false"/>
          <w:i w:val="false"/>
          <w:color w:val="000000"/>
          <w:sz w:val="21"/>
        </w:rPr>
        <w:t xml:space="preserve"> (Notice ARC 9939B, IAB 12/28/11)</w:t>
      </w:r>
      <w:r>
        <w:rPr>
          <w:rFonts w:ascii="Times New Roman" w:hAnsi="Times New Roman"/>
          <w:b w:val="false"/>
          <w:i w:val="false"/>
          <w:color w:val="000000"/>
          <w:sz w:val="21"/>
        </w:rPr>
        <w:t>, IAB 4/4/12, effective 5/9/12]</w:t>
      </w:r>
    </w:p>
    <w:p>
      <w:pPr>
        <w:spacing w:before="0" w:after="0"/>
        <w:ind w:left="120"/>
        <w:jc w:val="center"/>
      </w:pPr>
      <w:r>
        <w:rPr>
          <w:rFonts w:ascii="Times New Roman" w:hAnsi="Times New Roman"/>
          <w:b w:val="false"/>
          <w:i w:val="false"/>
          <w:color w:val="000000"/>
          <w:sz w:val="21"/>
        </w:rPr>
        <w:t>[Filed ARC 6763C</w:t>
      </w:r>
      <w:r>
        <w:rPr>
          <w:rFonts w:ascii="Times New Roman" w:hAnsi="Times New Roman"/>
          <w:b w:val="false"/>
          <w:i w:val="false"/>
          <w:color w:val="000000"/>
          <w:sz w:val="21"/>
        </w:rPr>
        <w:t xml:space="preserve"> (Notice ARC 6580C, IAB 10/5/22)</w:t>
      </w:r>
      <w:r>
        <w:rPr>
          <w:rFonts w:ascii="Times New Roman" w:hAnsi="Times New Roman"/>
          <w:b w:val="false"/>
          <w:i w:val="false"/>
          <w:color w:val="000000"/>
          <w:sz w:val="21"/>
        </w:rPr>
        <w:t>, IAB 12/28/22, effective 2/1/23]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5A.1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