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VETERANS COMMEMORATIVE PROPERTY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801—15.1</w:t>
      </w:r>
      <w:r>
        <w:rPr>
          <w:rFonts w:ascii="Times New Roman" w:hAnsi="Times New Roman"/>
          <w:b/>
          <w:i w:val="false"/>
          <w:color w:val="000000"/>
          <w:sz w:val="22"/>
        </w:rPr>
        <w:t xml:space="preserve">(37A)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37A.1</w:t>
        </w:r>
      </w:hyperlink>
      <w:r>
        <w:rPr>
          <w:rFonts w:ascii="Times New Roman" w:hAnsi="Times New Roman"/>
          <w:b w:val="false"/>
          <w:i w:val="false"/>
          <w:color w:val="000000"/>
          <w:sz w:val="22"/>
        </w:rPr>
        <w:t>, these rules establish the process for the sale, trade or transfer of veterans commemorative property.</w:t>
      </w:r>
    </w:p>
    <w:p>
      <w:pPr>
        <w:spacing w:before="0" w:after="0"/>
        <w:ind w:left="120"/>
        <w:jc w:val="both"/>
      </w:pPr>
      <w:r>
        <w:rPr>
          <w:rFonts w:ascii="Times New Roman" w:hAnsi="Times New Roman"/>
          <w:b/>
          <w:i w:val="false"/>
          <w:color w:val="000000"/>
          <w:sz w:val="22"/>
        </w:rPr>
        <w:t>801—15.2</w:t>
      </w:r>
      <w:r>
        <w:rPr>
          <w:rFonts w:ascii="Times New Roman" w:hAnsi="Times New Roman"/>
          <w:b/>
          <w:i w:val="false"/>
          <w:color w:val="000000"/>
          <w:sz w:val="22"/>
        </w:rPr>
        <w:t xml:space="preserve">(37A)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terms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 </w:t>
      </w:r>
      <w:r>
        <w:rPr>
          <w:rFonts w:ascii="Times New Roman" w:hAnsi="Times New Roman"/>
          <w:b w:val="false"/>
          <w:i w:val="false"/>
          <w:color w:val="000000"/>
          <w:sz w:val="22"/>
        </w:rPr>
        <w:t>means a deceased person who served in the armed forces of the United States during a war in which the United States was engaged or served full-time in active duty in a force of an organized state militia, excluding service in the National Guard when in an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“Veterans commemorative property” </w:t>
      </w:r>
      <w:r>
        <w:rPr>
          <w:rFonts w:ascii="Times New Roman" w:hAnsi="Times New Roman"/>
          <w:b w:val="false"/>
          <w:i w:val="false"/>
          <w:color w:val="000000"/>
          <w:sz w:val="22"/>
        </w:rPr>
        <w:t xml:space="preserve">means any memorial as defined in Iowa Code section </w:t>
      </w:r>
      <w:hyperlink r:id="rId6">
        <w:r>
          <w:rPr>
            <w:rStyle w:val="Hyperlink"/>
            <w:rFonts w:ascii="Times New Roman" w:hAnsi="Times New Roman"/>
            <w:b w:val="false"/>
            <w:i w:val="false"/>
            <w:color w:val="000000"/>
            <w:sz w:val="22"/>
          </w:rPr>
          <w:t>523I.102</w:t>
        </w:r>
      </w:hyperlink>
      <w:r>
        <w:rPr>
          <w:rFonts w:ascii="Times New Roman" w:hAnsi="Times New Roman"/>
          <w:b w:val="false"/>
          <w:i w:val="false"/>
          <w:color w:val="000000"/>
          <w:sz w:val="22"/>
        </w:rPr>
        <w:t>, including a headstone, plaque, statue, urn, decoration, flag holder, badge, shield, item of memorabilia, or other embellishment, that identifies or commemorates any veteran or group of veterans, including any veterans organization or any military unit, company, battalion, or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“Veterans organization” </w:t>
      </w:r>
      <w:r>
        <w:rPr>
          <w:rFonts w:ascii="Times New Roman" w:hAnsi="Times New Roman"/>
          <w:b w:val="false"/>
          <w:i w:val="false"/>
          <w:color w:val="000000"/>
          <w:sz w:val="22"/>
        </w:rPr>
        <w:t>means the Grand Army of the Republic, Sons of Union Veterans of the Civil War, Sons of Confederate Veterans, Veterans of Foreign Wars, Disabled American Veterans, Paralyzed Veterans of America, Military Order of the Purple Heart, Forty and Eight, Vietnam Veterans of America, United Spanish War Veterans, the Jewish War Veterans of the United States, Inc., the Catholic War Veterans, Inc., American Legion, American Veterans of World War II, Italian American War Veterans of the United States, Inc., or other corporation or association of veterans.</w:t>
      </w:r>
    </w:p>
    <w:p>
      <w:pPr>
        <w:spacing w:before="0" w:after="0"/>
        <w:ind w:left="120"/>
        <w:jc w:val="both"/>
      </w:pPr>
      <w:r>
        <w:rPr>
          <w:rFonts w:ascii="Times New Roman" w:hAnsi="Times New Roman"/>
          <w:b/>
          <w:i w:val="false"/>
          <w:color w:val="000000"/>
          <w:sz w:val="22"/>
        </w:rPr>
        <w:t>801—15.3</w:t>
      </w:r>
      <w:r>
        <w:rPr>
          <w:rFonts w:ascii="Times New Roman" w:hAnsi="Times New Roman"/>
          <w:b/>
          <w:i w:val="false"/>
          <w:color w:val="000000"/>
          <w:sz w:val="22"/>
        </w:rPr>
        <w:t xml:space="preserve">(37A) </w:t>
      </w:r>
      <w:r>
        <w:rPr>
          <w:rFonts w:ascii="Times New Roman" w:hAnsi="Times New Roman"/>
          <w:b/>
          <w:i w:val="false"/>
          <w:color w:val="000000"/>
          <w:sz w:val="22"/>
        </w:rPr>
        <w:t xml:space="preserve">Notification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Prior to the sale, trade or transfer of veterans commemorative property, a person who owns or controls a property where veterans commemorative property has been placed shall provide notice to the department and obtain written authorization. Notification to the department shall be submitted for review on forms provided by the department 60 days prior to the proposed transaction date of the veterans commemorative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Notification forms. </w:t>
      </w:r>
      <w:r>
        <w:rPr>
          <w:rFonts w:ascii="Times New Roman" w:hAnsi="Times New Roman"/>
          <w:b w:val="false"/>
          <w:i w:val="false"/>
          <w:color w:val="000000"/>
          <w:sz w:val="22"/>
        </w:rPr>
        <w:t xml:space="preserve">Notification forms may be obtained from the Iowa Department of Veterans Affairs, Camp Dodge, Bldg. 3465, 7105 NW 70th Avenue, Johnston, Iowa 50131-1824, or from the department’s Web site at </w:t>
      </w:r>
      <w:hyperlink r:id="rId7">
        <w:r>
          <w:rPr>
            <w:rStyle w:val="Hyperlink"/>
            <w:rFonts w:ascii="Times New Roman" w:hAnsi="Times New Roman"/>
            <w:b w:val="false"/>
            <w:i w:val="false"/>
            <w:color w:val="000000"/>
            <w:sz w:val="22"/>
            <w:u w:val="single"/>
          </w:rPr>
          <w:t>https://va.iowa.gov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801—15.4</w:t>
      </w:r>
      <w:r>
        <w:rPr>
          <w:rFonts w:ascii="Times New Roman" w:hAnsi="Times New Roman"/>
          <w:b/>
          <w:i w:val="false"/>
          <w:color w:val="000000"/>
          <w:sz w:val="22"/>
        </w:rPr>
        <w:t xml:space="preserve">(37A) </w:t>
      </w:r>
      <w:r>
        <w:rPr>
          <w:rFonts w:ascii="Times New Roman" w:hAnsi="Times New Roman"/>
          <w:b/>
          <w:i w:val="false"/>
          <w:color w:val="000000"/>
          <w:sz w:val="22"/>
        </w:rPr>
        <w:t xml:space="preserve">Transaction approval. </w:t>
      </w:r>
      <w:r>
        <w:rPr>
          <w:rFonts w:ascii="Times New Roman" w:hAnsi="Times New Roman"/>
          <w:b w:val="false"/>
          <w:i w:val="false"/>
          <w:color w:val="000000"/>
          <w:sz w:val="22"/>
        </w:rPr>
        <w:t>Upon receipt of transaction notification and supporting documentation, the department shall take action on the request within a reasonable time frame not to exceed 60 days. The following criteria will be considered in evaluating a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Risk of deterioration. </w:t>
      </w:r>
      <w:r>
        <w:rPr>
          <w:rFonts w:ascii="Times New Roman" w:hAnsi="Times New Roman"/>
          <w:b w:val="false"/>
          <w:i w:val="false"/>
          <w:color w:val="000000"/>
          <w:sz w:val="22"/>
        </w:rPr>
        <w:t>The department may authorize the sale, trade, or transfer of veterans commemorative property, if the veterans commemorative property is determined to be at risk of deterioration to a point where the veteran, group of veterans, or veterans organization that the property commemorates will be unrecognizable.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Relocation of veterans commemorative property to a suitable location. </w:t>
      </w:r>
      <w:r>
        <w:rPr>
          <w:rFonts w:ascii="Times New Roman" w:hAnsi="Times New Roman"/>
          <w:b w:val="false"/>
          <w:i w:val="false"/>
          <w:color w:val="000000"/>
          <w:sz w:val="22"/>
        </w:rPr>
        <w:t>The department may authorize the sale, trade, or transfer of veterans commemorative property if the transaction will be made with an individual or organization that will preserve the current condition of the property and will display the property in a manner that will commemorate the veteran, group of veterans, or veterans organization for which the property was intended.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To provide for the maintenance of cemetery property. </w:t>
      </w:r>
      <w:r>
        <w:rPr>
          <w:rFonts w:ascii="Times New Roman" w:hAnsi="Times New Roman"/>
          <w:b w:val="false"/>
          <w:i w:val="false"/>
          <w:color w:val="000000"/>
          <w:sz w:val="22"/>
        </w:rPr>
        <w:t>The department may authorize the sale, trade, or transfer of veterans commemorative property if the transaction is necessary to ensure that sufficient funds are available to maintain the cemetery where the veterans commemorative property is placed and the specific lot, plot, grave, burial place, niche, crypt, or other place of interment of a veteran or group of veterans.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Veterans commemorative property will be suitably replaced. </w:t>
      </w:r>
      <w:r>
        <w:rPr>
          <w:rFonts w:ascii="Times New Roman" w:hAnsi="Times New Roman"/>
          <w:b w:val="false"/>
          <w:i w:val="false"/>
          <w:color w:val="000000"/>
          <w:sz w:val="22"/>
        </w:rPr>
        <w:t>The department may authorize the sale, trade, or transfer of veterans commemorative property if the property will be replaced at the same site, with a memorial that will continue to commemorate the veteran, group of veterans, or veterans organization that the original memorial was intended to honor.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Donating veterans organization approval. </w:t>
      </w:r>
      <w:r>
        <w:rPr>
          <w:rFonts w:ascii="Times New Roman" w:hAnsi="Times New Roman"/>
          <w:b w:val="false"/>
          <w:i w:val="false"/>
          <w:color w:val="000000"/>
          <w:sz w:val="22"/>
        </w:rPr>
        <w:t>The department may authorize the sale, trade, or transfer of veterans commemorative property if the veterans organization that is believed to have donated the property consents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15.4(6)</w:t>
      </w:r>
      <w:r>
        <w:rPr>
          <w:rFonts w:ascii="Times New Roman" w:hAnsi="Times New Roman"/>
          <w:b w:val="false"/>
          <w:i w:val="false"/>
          <w:color w:val="000000"/>
          <w:sz w:val="22"/>
        </w:rPr>
        <w:t> </w:t>
      </w:r>
      <w:r>
        <w:rPr>
          <w:rFonts w:ascii="Times New Roman" w:hAnsi="Times New Roman"/>
          <w:b w:val="false"/>
          <w:i/>
          <w:color w:val="000000"/>
          <w:sz w:val="22"/>
        </w:rPr>
        <w:t xml:space="preserve">Lending owner approval. </w:t>
      </w:r>
      <w:r>
        <w:rPr>
          <w:rFonts w:ascii="Times New Roman" w:hAnsi="Times New Roman"/>
          <w:b w:val="false"/>
          <w:i w:val="false"/>
          <w:color w:val="000000"/>
          <w:sz w:val="22"/>
        </w:rPr>
        <w:t>The department may authorize the sale, trade, or transfer of veterans commemorative property if the owner of the property authorizes the transaction and is aware that the entity in possession of the property will retain the proceeds of the transaction.</w:t>
      </w:r>
    </w:p>
    <w:p>
      <w:pPr>
        <w:spacing w:before="0" w:after="0"/>
        <w:ind w:left="120"/>
        <w:jc w:val="both"/>
      </w:pPr>
      <w:r>
        <w:rPr>
          <w:rFonts w:ascii="Times New Roman" w:hAnsi="Times New Roman"/>
          <w:b/>
          <w:i w:val="false"/>
          <w:color w:val="000000"/>
          <w:sz w:val="22"/>
        </w:rPr>
        <w:t>801—15.5</w:t>
      </w:r>
      <w:r>
        <w:rPr>
          <w:rFonts w:ascii="Times New Roman" w:hAnsi="Times New Roman"/>
          <w:b/>
          <w:i w:val="false"/>
          <w:color w:val="000000"/>
          <w:sz w:val="22"/>
        </w:rPr>
        <w:t xml:space="preserve">(37A)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Final department action. </w:t>
      </w:r>
      <w:r>
        <w:rPr>
          <w:rFonts w:ascii="Times New Roman" w:hAnsi="Times New Roman"/>
          <w:b w:val="false"/>
          <w:i w:val="false"/>
          <w:color w:val="000000"/>
          <w:sz w:val="22"/>
        </w:rPr>
        <w:t>Action taken on the application shall be the final decision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Review of the department’s final decision may be sought in accordance with Iowa Code section </w:t>
      </w:r>
      <w:hyperlink r:id="rId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Written notice of appeal should be directed to the Executive Director, Iowa Department of Veterans Affairs, Camp Dodge, Bldg. 3465, 7105 NW 70th Avenue, Johnston, Iowa 50131-1824, within 30 days of receipt of final department action.</w:t>
      </w:r>
    </w:p>
    <w:p>
      <w:pPr>
        <w:spacing w:before="210" w:after="0"/>
        <w:ind w:left="120"/>
        <w:jc w:val="both"/>
      </w:pPr>
      <w:r>
        <w:rPr>
          <w:rFonts w:ascii="Times New Roman" w:hAnsi="Times New Roman"/>
          <w:b/>
          <w:i w:val="false"/>
          <w:color w:val="000000"/>
          <w:sz w:val="22"/>
        </w:rPr>
        <w:t>801—15.6</w:t>
      </w:r>
      <w:r>
        <w:rPr>
          <w:rFonts w:ascii="Times New Roman" w:hAnsi="Times New Roman"/>
          <w:b/>
          <w:i w:val="false"/>
          <w:color w:val="000000"/>
          <w:sz w:val="22"/>
        </w:rPr>
        <w:t xml:space="preserve">(37A) </w:t>
      </w:r>
      <w:r>
        <w:rPr>
          <w:rFonts w:ascii="Times New Roman" w:hAnsi="Times New Roman"/>
          <w:b/>
          <w:i w:val="false"/>
          <w:color w:val="000000"/>
          <w:sz w:val="22"/>
        </w:rPr>
        <w:t xml:space="preserve">Penalty. </w:t>
      </w:r>
      <w:r>
        <w:rPr>
          <w:rFonts w:ascii="Times New Roman" w:hAnsi="Times New Roman"/>
          <w:b w:val="false"/>
          <w:i w:val="false"/>
          <w:color w:val="000000"/>
          <w:sz w:val="22"/>
        </w:rPr>
        <w:t xml:space="preserve">Engaging in the sale, trade, or transfer of veterans commemorative property without department authorization is punishable as a simple misdemeanor pursuant to Iowa Code section </w:t>
      </w:r>
      <w:hyperlink r:id="rId9">
        <w:r>
          <w:rPr>
            <w:rStyle w:val="Hyperlink"/>
            <w:rFonts w:ascii="Times New Roman" w:hAnsi="Times New Roman"/>
            <w:b w:val="false"/>
            <w:i w:val="false"/>
            <w:color w:val="000000"/>
            <w:sz w:val="22"/>
          </w:rPr>
          <w:t>37A.1(3)</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37A.1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2008 Iowa Acts, Senate File 2333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11/28/07, Notice 10/24/07—published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3341C</w:t>
      </w:r>
      <w:r>
        <w:rPr>
          <w:rFonts w:ascii="Times New Roman" w:hAnsi="Times New Roman"/>
          <w:b w:val="false"/>
          <w:i w:val="false"/>
          <w:color w:val="000000"/>
          <w:sz w:val="21"/>
        </w:rPr>
        <w:t xml:space="preserve"> (Notice ARC 3147C, IAB 7/5/17)</w:t>
      </w:r>
      <w:r>
        <w:rPr>
          <w:rFonts w:ascii="Times New Roman" w:hAnsi="Times New Roman"/>
          <w:b w:val="false"/>
          <w:i w:val="false"/>
          <w:color w:val="000000"/>
          <w:sz w:val="21"/>
        </w:rPr>
        <w:t>, IAB 9/27/17, effective 11/1/17]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7A.1.pdf" Type="http://schemas.openxmlformats.org/officeDocument/2006/relationships/hyperlink" Id="rId5"/>
    <Relationship TargetMode="External" Target="https://www.legis.iowa.gov/docs/ico/chapter/523I.102.pdf" Type="http://schemas.openxmlformats.org/officeDocument/2006/relationships/hyperlink" Id="rId6"/>
    <Relationship TargetMode="External" Target="https://va.iowa.gov" Type="http://schemas.openxmlformats.org/officeDocument/2006/relationships/hyperlink" Id="rId7"/>
    <Relationship TargetMode="External" Target="https://www.legis.iowa.gov/docs/ico/chapter/17A.19.pdf" Type="http://schemas.openxmlformats.org/officeDocument/2006/relationships/hyperlink" Id="rId8"/>
    <Relationship TargetMode="External" Target="https://www.legis.iowa.gov/docs/ico/chapter/37A.1.pdf" Type="http://schemas.openxmlformats.org/officeDocument/2006/relationships/hyperlink" Id="rId9"/>
    <Relationship TargetMode="External" Target="https://www.legis.iowa.gov/docs/ico/chapter/37A.1.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