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INJURED VETERANS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9/9/31</w:t>
      </w:r>
    </w:p>
    <w:p>
      <w:pPr>
        <w:spacing w:before="0" w:after="0"/>
        <w:ind w:left="120"/>
        <w:jc w:val="both"/>
      </w:pPr>
      <w:r>
        <w:rPr>
          <w:rFonts w:ascii="Times New Roman" w:hAnsi="Times New Roman"/>
          <w:b/>
          <w:i w:val="false"/>
          <w:color w:val="000000"/>
          <w:sz w:val="22"/>
        </w:rPr>
        <w:t>801—11.1</w:t>
      </w:r>
      <w:r>
        <w:rPr>
          <w:rFonts w:ascii="Times New Roman" w:hAnsi="Times New Roman"/>
          <w:b/>
          <w:i w:val="false"/>
          <w:color w:val="000000"/>
          <w:sz w:val="22"/>
        </w:rPr>
        <w:t xml:space="preserve">(35A) </w:t>
      </w:r>
      <w:r>
        <w:rPr>
          <w:rFonts w:ascii="Times New Roman" w:hAnsi="Times New Roman"/>
          <w:b/>
          <w:i w:val="false"/>
          <w:color w:val="000000"/>
          <w:sz w:val="22"/>
        </w:rPr>
        <w:t xml:space="preserve">Grant amounts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 xml:space="preserve">Grants paid by the department pursuant to Iowa Code section </w:t>
      </w:r>
      <w:hyperlink r:id="rId5">
        <w:r>
          <w:rPr>
            <w:rStyle w:val="Hyperlink"/>
            <w:rFonts w:ascii="Times New Roman" w:hAnsi="Times New Roman"/>
            <w:b w:val="false"/>
            <w:i w:val="false"/>
            <w:color w:val="000000"/>
            <w:sz w:val="22"/>
          </w:rPr>
          <w:t>35A.14</w:t>
        </w:r>
      </w:hyperlink>
      <w:r>
        <w:rPr>
          <w:rFonts w:ascii="Times New Roman" w:hAnsi="Times New Roman"/>
          <w:b w:val="false"/>
          <w:i w:val="false"/>
          <w:color w:val="000000"/>
          <w:sz w:val="22"/>
        </w:rPr>
        <w:t xml:space="preserve"> are paid in increments of $2,500, up to a maximum of $10,000.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An initial grant of $2,500 is payable to an eligible veteran who sustains an injury in the line of duty and, because of such injury,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Medically evacuated from an operational theater to a military hospital for treatment;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Hospitalized at a military hospital for at least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After an initial grant is paid, subsequent grant payments of $2,500 are payable at 30-, 60-, and 90-day intervals thereafter if the veteran remains hospitalized or continues to receive medical care or rehabilitation services authorized by the military. Qualifying treatment or services must be provided in a location that is not the veteran’s home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 veteran remains eligible for the grant after discharge from the military so long as the veteran remains hospitalized or continues to receive medical treatment or rehabilitation services for the qualifying injury or illness.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0470D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801—11.2</w:t>
      </w:r>
      <w:r>
        <w:rPr>
          <w:rFonts w:ascii="Times New Roman" w:hAnsi="Times New Roman"/>
          <w:b/>
          <w:i w:val="false"/>
          <w:color w:val="000000"/>
          <w:sz w:val="22"/>
        </w:rPr>
        <w:t xml:space="preserve">(35A)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an initial grant payment under this chapter, a veteran must submit an application to the department that includes documentation establishing either Iowa residency or eligibility as a nonresident pursuant to Iowa Code section </w:t>
      </w:r>
      <w:hyperlink r:id="rId6">
        <w:r>
          <w:rPr>
            <w:rStyle w:val="Hyperlink"/>
            <w:rFonts w:ascii="Times New Roman" w:hAnsi="Times New Roman"/>
            <w:b w:val="false"/>
            <w:i w:val="false"/>
            <w:color w:val="000000"/>
            <w:sz w:val="22"/>
          </w:rPr>
          <w:t>35A.14(1)</w:t>
        </w:r>
      </w:hyperlink>
      <w:r>
        <w:rPr>
          <w:rFonts w:ascii="Times New Roman" w:hAnsi="Times New Roman"/>
          <w:b w:val="false"/>
          <w:i w:val="false"/>
          <w:color w:val="000000"/>
          <w:sz w:val="22"/>
        </w:rPr>
        <w:t>. A veteran must also submit reasonably reliable documentation establishing eligibility,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Relevant military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DD Form 214, if discharged.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a subsequent incremental grant payment under this chapter, a veteran must submit additional documentation establishing continued qualifying hospitalization, medical care, or rehabilitation services for the injury.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An application for an initial or subsequent incremental grant payment under this chapter will be submitted by the veteran. If the veteran is incapacitated due to the injury, however, the application may be submitted on the veteran’s behalf by a close family member, such as a spouse or parent, or by an appropriate power of attorney. Grants payable under this chapter are paid only to the legal custody of the veteran.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A veteran may receive assistance in the application process by contacting the department office at 515.252.4698 or 800.838.4692.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val="false"/>
          <w:color w:val="000000"/>
          <w:sz w:val="22"/>
        </w:rPr>
        <w:t>For any qualifying injury sustained on or after January 1, 2027, the department must receive an initial application within two years of the date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val="false"/>
          <w:color w:val="000000"/>
          <w:sz w:val="22"/>
        </w:rPr>
        <w:t>Upon receiving an application for an initial or subsequent incremental grant, the department will, within 30 days, inform the applicant in writing that the application has been approved or denied or requires additional documentation establishing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0470D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35A.14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6/7/06—published 7/5/06, effective 6/7/06]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ARC 9471B, IAB 4/20/11, effective 3/31/11]</w:t>
      </w:r>
    </w:p>
    <w:p>
      <w:pPr>
        <w:spacing w:before="0" w:after="0"/>
        <w:ind w:left="120"/>
        <w:jc w:val="center"/>
      </w:pPr>
      <w:r>
        <w:rPr>
          <w:rFonts w:ascii="Times New Roman" w:hAnsi="Times New Roman"/>
          <w:b w:val="false"/>
          <w:i w:val="false"/>
          <w:color w:val="000000"/>
          <w:sz w:val="21"/>
        </w:rPr>
        <w:t>[Filed ARC 0057C</w:t>
      </w:r>
      <w:r>
        <w:rPr>
          <w:rFonts w:ascii="Times New Roman" w:hAnsi="Times New Roman"/>
          <w:b w:val="false"/>
          <w:i w:val="false"/>
          <w:color w:val="000000"/>
          <w:sz w:val="21"/>
        </w:rPr>
        <w:t xml:space="preserve"> (Notice ARC 9939B, IAB 12/28/11)</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4987C</w:t>
      </w:r>
      <w:r>
        <w:rPr>
          <w:rFonts w:ascii="Times New Roman" w:hAnsi="Times New Roman"/>
          <w:b w:val="false"/>
          <w:i w:val="false"/>
          <w:color w:val="000000"/>
          <w:sz w:val="21"/>
        </w:rPr>
        <w:t xml:space="preserve"> (Notice ARC 4767C,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0470D</w:t>
      </w:r>
      <w:r>
        <w:rPr>
          <w:rFonts w:ascii="Times New Roman" w:hAnsi="Times New Roman"/>
          <w:b w:val="false"/>
          <w:i w:val="false"/>
          <w:color w:val="000000"/>
          <w:sz w:val="21"/>
        </w:rPr>
        <w:t xml:space="preserve"> (Amended Notice ARC 0330D, IAB 6/10/26; </w:t>
      </w:r>
      <w:r>
        <w:rPr>
          <w:rFonts w:ascii="Times New Roman" w:hAnsi="Times New Roman"/>
          <w:b w:val="false"/>
          <w:i w:val="false"/>
          <w:color w:val="000000"/>
          <w:sz w:val="21"/>
        </w:rPr>
        <w:t>Notice ARC 0193D, IAB 4/15/26)</w:t>
      </w:r>
      <w:r>
        <w:rPr>
          <w:rFonts w:ascii="Times New Roman" w:hAnsi="Times New Roman"/>
          <w:b w:val="false"/>
          <w:i w:val="false"/>
          <w:color w:val="000000"/>
          <w:sz w:val="21"/>
        </w:rPr>
        <w:t>, IAB 8/5/26, effective 9/9/26]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14.pdf" Type="http://schemas.openxmlformats.org/officeDocument/2006/relationships/hyperlink" Id="rId5"/>
    <Relationship TargetMode="External" Target="https://www.legis.iowa.gov/docs/ico/chapter/35A.14.pdf" Type="http://schemas.openxmlformats.org/officeDocument/2006/relationships/hyperlink" Id="rId6"/>
    <Relationship TargetMode="External" Target="https://www.legis.iowa.gov/docs/ico/chapter/35A.1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