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VETERANS HOME</w:t>
      </w:r>
    </w:p>
    <w:p>
      <w:pPr>
        <w:spacing w:before="0" w:after="0"/>
        <w:ind w:left="120"/>
        <w:jc w:val="center"/>
      </w:pPr>
      <w:r>
        <w:rPr>
          <w:rFonts w:ascii="Times New Roman" w:hAnsi="Times New Roman"/>
          <w:b w:val="false"/>
          <w:i w:val="false"/>
          <w:color w:val="000000"/>
          <w:sz w:val="20"/>
        </w:rPr>
        <w:t>[Prior to 2/29/84, Social Services[770] Ch 134]</w:t>
      </w:r>
    </w:p>
    <w:p>
      <w:pPr>
        <w:spacing w:before="0" w:after="0"/>
        <w:ind w:left="120"/>
        <w:jc w:val="center"/>
      </w:pPr>
      <w:r>
        <w:rPr>
          <w:rFonts w:ascii="Times New Roman" w:hAnsi="Times New Roman"/>
          <w:b w:val="false"/>
          <w:i w:val="false"/>
          <w:color w:val="000000"/>
          <w:sz w:val="20"/>
        </w:rPr>
        <w:t>[Prior to 2/11/87, Human Services[498] Ch 10]</w:t>
      </w:r>
    </w:p>
    <w:p>
      <w:pPr>
        <w:spacing w:before="0" w:after="0"/>
        <w:ind w:left="120"/>
        <w:jc w:val="center"/>
      </w:pPr>
      <w:r>
        <w:rPr>
          <w:rFonts w:ascii="Times New Roman" w:hAnsi="Times New Roman"/>
          <w:b w:val="false"/>
          <w:i w:val="false"/>
          <w:color w:val="000000"/>
          <w:sz w:val="20"/>
        </w:rPr>
        <w:t>[Prior to 1/20/93, Human Services[441] Ch 10]</w:t>
      </w:r>
    </w:p>
    <w:p>
      <w:pPr>
        <w:spacing w:before="0" w:after="0"/>
        <w:ind w:left="120"/>
        <w:jc w:val="both"/>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 Iowa Veterans Home is a long-term health care facility located in Marshalltown, Iowa, with oversight provided by the commission of veterans affairs.</w:t>
      </w:r>
    </w:p>
    <w:p>
      <w:pPr>
        <w:spacing w:before="0" w:after="0"/>
        <w:ind w:left="120"/>
        <w:jc w:val="both"/>
      </w:pPr>
      <w:r>
        <w:rPr>
          <w:rFonts w:ascii="Times New Roman" w:hAnsi="Times New Roman"/>
          <w:b/>
          <w:i w:val="false"/>
          <w:color w:val="000000"/>
          <w:sz w:val="22"/>
        </w:rPr>
        <w:t>801—10.1</w:t>
      </w:r>
      <w:r>
        <w:rPr>
          <w:rFonts w:ascii="Times New Roman" w:hAnsi="Times New Roman"/>
          <w:b/>
          <w:i w:val="false"/>
          <w:color w:val="000000"/>
          <w:sz w:val="22"/>
        </w:rPr>
        <w:t xml:space="preserve">(35D) </w:t>
      </w:r>
      <w:r>
        <w:rPr>
          <w:rFonts w:ascii="Times New Roman" w:hAnsi="Times New Roman"/>
          <w:b/>
          <w:i w:val="false"/>
          <w:color w:val="000000"/>
          <w:sz w:val="22"/>
        </w:rPr>
        <w:t xml:space="preserve">Definitions relevant to Iowa Veterans Home. </w:t>
      </w:r>
      <w:r>
        <w:rPr>
          <w:rFonts w:ascii="Times New Roman" w:hAnsi="Times New Roman"/>
          <w:b w:val="false"/>
          <w:i w:val="false"/>
          <w:color w:val="000000"/>
          <w:sz w:val="22"/>
        </w:rPr>
        <w:t>The following definitions are unique to rules pertaining 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alcoholic”</w:t>
      </w:r>
      <w:r>
        <w:rPr>
          <w:rFonts w:ascii="Times New Roman" w:hAnsi="Times New Roman"/>
          <w:b w:val="false"/>
          <w:i w:val="false"/>
          <w:color w:val="000000"/>
          <w:sz w:val="22"/>
        </w:rPr>
        <w:t> </w:t>
      </w:r>
      <w:r>
        <w:rPr>
          <w:rFonts w:ascii="Times New Roman" w:hAnsi="Times New Roman"/>
          <w:b w:val="false"/>
          <w:i w:val="false"/>
          <w:color w:val="000000"/>
          <w:sz w:val="22"/>
        </w:rPr>
        <w:t>means any disturbance of emotional equilibrium caused by the consumption of alcohol resulting in behavior not currently controllable.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“Acutely mentally ill”</w:t>
      </w:r>
      <w:r>
        <w:rPr>
          <w:rFonts w:ascii="Times New Roman" w:hAnsi="Times New Roman"/>
          <w:b w:val="false"/>
          <w:i w:val="false"/>
          <w:color w:val="000000"/>
          <w:sz w:val="22"/>
        </w:rPr>
        <w:t> </w:t>
      </w:r>
      <w:r>
        <w:rPr>
          <w:rFonts w:ascii="Times New Roman" w:hAnsi="Times New Roman"/>
          <w:b w:val="false"/>
          <w:i w:val="false"/>
          <w:color w:val="000000"/>
          <w:sz w:val="22"/>
        </w:rPr>
        <w:t>means any disturbance of emotional equilibrium manifested in maladaptive behavior and impaired functioning caused by genetic, physical, chemical, biological, psychological, social or cultural factors which requires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“Addicted to drugs”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of dependency as medically determined resulting from excessive or prolonged use of drugs as defined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“Admissions committee”</w:t>
      </w:r>
      <w:r>
        <w:rPr>
          <w:rFonts w:ascii="Times New Roman" w:hAnsi="Times New Roman"/>
          <w:b w:val="false"/>
          <w:i w:val="false"/>
          <w:color w:val="000000"/>
          <w:sz w:val="22"/>
        </w:rPr>
        <w:t> </w:t>
      </w:r>
      <w:r>
        <w:rPr>
          <w:rFonts w:ascii="Times New Roman" w:hAnsi="Times New Roman"/>
          <w:b w:val="false"/>
          <w:i w:val="false"/>
          <w:color w:val="000000"/>
          <w:sz w:val="22"/>
        </w:rPr>
        <w:t>means the committee appointed by the commandant to review applications to determine eligibility for admission and appropriate level and category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“Admissions coordinator”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the coordination of the admissions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applying for admission into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“Assets”</w:t>
      </w:r>
      <w:r>
        <w:rPr>
          <w:rFonts w:ascii="Times New Roman" w:hAnsi="Times New Roman"/>
          <w:b w:val="false"/>
          <w:i w:val="false"/>
          <w:color w:val="000000"/>
          <w:sz w:val="22"/>
        </w:rPr>
        <w:t> </w:t>
      </w:r>
      <w:r>
        <w:rPr>
          <w:rFonts w:ascii="Times New Roman" w:hAnsi="Times New Roman"/>
          <w:b w:val="false"/>
          <w:i w:val="false"/>
          <w:color w:val="000000"/>
          <w:sz w:val="22"/>
        </w:rPr>
        <w:t>means items of value held by, or on behalf of, an applicant or member. Assets include, but are not limited to, cash, savings and checking accounts; stocks; bonds; contracts for sale of property; homestead or nonhomestead property. Nonrecurring windfall payments such as, but not limited to, inheritances; death benefits; insurance or tort claim settlements; and cash payments received from the conversion of a nonliquid asset to cash shall be considered assets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 once”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“timely”</w:t>
      </w:r>
      <w:r>
        <w:rPr>
          <w:rFonts w:ascii="Times New Roman" w:hAnsi="Times New Roman"/>
          <w:b w:val="false"/>
          <w:i w:val="false"/>
          <w:color w:val="000000"/>
          <w:sz w:val="22"/>
        </w:rPr>
        <w:t> </w:t>
      </w:r>
      <w:r>
        <w:rPr>
          <w:rFonts w:ascii="Times New Roman" w:hAnsi="Times New Roman"/>
          <w:b w:val="false"/>
          <w:i w:val="false"/>
          <w:color w:val="000000"/>
          <w:sz w:val="22"/>
        </w:rPr>
        <w:t>means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“Collaborative care plan”</w:t>
      </w:r>
      <w:r>
        <w:rPr>
          <w:rFonts w:ascii="Times New Roman" w:hAnsi="Times New Roman"/>
          <w:b w:val="false"/>
          <w:i w:val="false"/>
          <w:color w:val="000000"/>
          <w:sz w:val="22"/>
        </w:rPr>
        <w:t> </w:t>
      </w:r>
      <w:r>
        <w:rPr>
          <w:rFonts w:ascii="Times New Roman" w:hAnsi="Times New Roman"/>
          <w:b w:val="false"/>
          <w:i w:val="false"/>
          <w:color w:val="000000"/>
          <w:sz w:val="22"/>
        </w:rPr>
        <w:t>means the plan of care developed for a member by the resident care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“Commandant”</w:t>
      </w:r>
      <w:r>
        <w:rPr>
          <w:rFonts w:ascii="Times New Roman" w:hAnsi="Times New Roman"/>
          <w:b w:val="false"/>
          <w:i w:val="false"/>
          <w:color w:val="000000"/>
          <w:sz w:val="22"/>
        </w:rPr>
        <w:t> </w:t>
      </w:r>
      <w:r>
        <w:rPr>
          <w:rFonts w:ascii="Times New Roman" w:hAnsi="Times New Roman"/>
          <w:b w:val="false"/>
          <w:i w:val="false"/>
          <w:color w:val="000000"/>
          <w:sz w:val="22"/>
        </w:rPr>
        <w:t>means the chief executive officer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“Continuously disruptive”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behavior, on a recurring basis, which has been documented by Iowa Veterans Home staff, that causes harm to a member or staff or conflicts with the member responsibilities set forth in subrule </w:t>
      </w:r>
      <w:hyperlink r:id="rId6">
        <w:r>
          <w:rPr>
            <w:rStyle w:val="Hyperlink"/>
            <w:rFonts w:ascii="Times New Roman" w:hAnsi="Times New Roman"/>
            <w:b w:val="false"/>
            <w:i w:val="false"/>
            <w:color w:val="000000"/>
            <w:sz w:val="22"/>
          </w:rPr>
          <w:t>10.12(1)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asset”</w:t>
      </w:r>
      <w:r>
        <w:rPr>
          <w:rFonts w:ascii="Times New Roman" w:hAnsi="Times New Roman"/>
          <w:b w:val="false"/>
          <w:i w:val="false"/>
          <w:color w:val="000000"/>
          <w:sz w:val="22"/>
        </w:rPr>
        <w:t> </w:t>
      </w:r>
      <w:r>
        <w:rPr>
          <w:rFonts w:ascii="Times New Roman" w:hAnsi="Times New Roman"/>
          <w:b w:val="false"/>
          <w:i w:val="false"/>
          <w:color w:val="000000"/>
          <w:sz w:val="22"/>
        </w:rPr>
        <w:t>means an asset to be considered in calculation of member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“Dangerous to self or others”</w:t>
      </w:r>
      <w:r>
        <w:rPr>
          <w:rFonts w:ascii="Times New Roman" w:hAnsi="Times New Roman"/>
          <w:b w:val="false"/>
          <w:i w:val="false"/>
          <w:color w:val="000000"/>
          <w:sz w:val="22"/>
        </w:rPr>
        <w:t> </w:t>
      </w:r>
      <w:r>
        <w:rPr>
          <w:rFonts w:ascii="Times New Roman" w:hAnsi="Times New Roman"/>
          <w:b w:val="false"/>
          <w:i w:val="false"/>
          <w:color w:val="000000"/>
          <w:sz w:val="22"/>
        </w:rPr>
        <w:t>means any activity by a member which would result in injury to the member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w:t>
      </w:r>
      <w:r>
        <w:rPr>
          <w:rFonts w:ascii="Times New Roman" w:hAnsi="Times New Roman"/>
          <w:b w:val="false"/>
          <w:i w:val="false"/>
          <w:color w:val="000000"/>
          <w:sz w:val="22"/>
        </w:rPr>
        <w:t> </w:t>
      </w:r>
      <w:r>
        <w:rPr>
          <w:rFonts w:ascii="Times New Roman" w:hAnsi="Times New Roman"/>
          <w:b w:val="false"/>
          <w:i w:val="false"/>
          <w:color w:val="000000"/>
          <w:sz w:val="22"/>
        </w:rPr>
        <w:t>means a person for whose financial support an applicant or member is legally responsible or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“Diversion”</w:t>
      </w:r>
      <w:r>
        <w:rPr>
          <w:rFonts w:ascii="Times New Roman" w:hAnsi="Times New Roman"/>
          <w:b w:val="false"/>
          <w:i w:val="false"/>
          <w:color w:val="000000"/>
          <w:sz w:val="22"/>
        </w:rPr>
        <w:t> </w:t>
      </w:r>
      <w:r>
        <w:rPr>
          <w:rFonts w:ascii="Times New Roman" w:hAnsi="Times New Roman"/>
          <w:b w:val="false"/>
          <w:i w:val="false"/>
          <w:color w:val="000000"/>
          <w:sz w:val="22"/>
        </w:rPr>
        <w:t>means income that is transferred to a spouse before the member support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“DVA”</w:t>
      </w:r>
      <w:r>
        <w:rPr>
          <w:rFonts w:ascii="Times New Roman" w:hAnsi="Times New Roman"/>
          <w:b w:val="false"/>
          <w:i w:val="false"/>
          <w:color w:val="000000"/>
          <w:sz w:val="22"/>
        </w:rPr>
        <w:t> </w:t>
      </w:r>
      <w:r>
        <w:rPr>
          <w:rFonts w:ascii="Times New Roman" w:hAnsi="Times New Roman"/>
          <w:b w:val="false"/>
          <w:i w:val="false"/>
          <w:color w:val="000000"/>
          <w:sz w:val="22"/>
        </w:rPr>
        <w:t>means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time”</w:t>
      </w:r>
      <w:r>
        <w:rPr>
          <w:rFonts w:ascii="Times New Roman" w:hAnsi="Times New Roman"/>
          <w:b w:val="false"/>
          <w:i w:val="false"/>
          <w:color w:val="000000"/>
          <w:sz w:val="22"/>
        </w:rPr>
        <w:t> </w:t>
      </w:r>
      <w:r>
        <w:rPr>
          <w:rFonts w:ascii="Times New Roman" w:hAnsi="Times New Roman"/>
          <w:b w:val="false"/>
          <w:i w:val="false"/>
          <w:color w:val="000000"/>
          <w:sz w:val="22"/>
        </w:rPr>
        <w:t>means 12 days of leave time each calendar year for which the member is not charged for care during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support rate”</w:t>
      </w:r>
      <w:r>
        <w:rPr>
          <w:rFonts w:ascii="Times New Roman" w:hAnsi="Times New Roman"/>
          <w:b w:val="false"/>
          <w:i w:val="false"/>
          <w:color w:val="000000"/>
          <w:sz w:val="22"/>
        </w:rPr>
        <w:t> </w:t>
      </w:r>
      <w:r>
        <w:rPr>
          <w:rFonts w:ascii="Times New Roman" w:hAnsi="Times New Roman"/>
          <w:b w:val="false"/>
          <w:i w:val="false"/>
          <w:color w:val="000000"/>
          <w:sz w:val="22"/>
        </w:rPr>
        <w:t>means the maximum daily rate of support times the billable days of care received in any month less any offsets.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“Gold Star parent”</w:t>
      </w:r>
      <w:r>
        <w:rPr>
          <w:rFonts w:ascii="Times New Roman" w:hAnsi="Times New Roman"/>
          <w:b w:val="false"/>
          <w:i w:val="false"/>
          <w:color w:val="000000"/>
          <w:sz w:val="22"/>
        </w:rPr>
        <w:t> </w:t>
      </w:r>
      <w:r>
        <w:rPr>
          <w:rFonts w:ascii="Times New Roman" w:hAnsi="Times New Roman"/>
          <w:b w:val="false"/>
          <w:i w:val="false"/>
          <w:color w:val="000000"/>
          <w:sz w:val="22"/>
        </w:rPr>
        <w:t>means a parent of a deceased member of the United States armed forces who died while serving on active duty during a time of military conflict or who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“Honorable discharge”</w:t>
      </w:r>
      <w:r>
        <w:rPr>
          <w:rFonts w:ascii="Times New Roman" w:hAnsi="Times New Roman"/>
          <w:b w:val="false"/>
          <w:i w:val="false"/>
          <w:color w:val="000000"/>
          <w:sz w:val="22"/>
        </w:rPr>
        <w:t> </w:t>
      </w:r>
      <w:r>
        <w:rPr>
          <w:rFonts w:ascii="Times New Roman" w:hAnsi="Times New Roman"/>
          <w:b w:val="false"/>
          <w:i w:val="false"/>
          <w:color w:val="000000"/>
          <w:sz w:val="22"/>
        </w:rPr>
        <w:t>means separation or retirement from active military service. The veteran must be eligible for medical care in the DVA system (excluding financial eligibility). Honorable discharge includes general discharges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w:t>
      </w:r>
      <w:r>
        <w:rPr>
          <w:rFonts w:ascii="Times New Roman" w:hAnsi="Times New Roman"/>
          <w:b w:val="false"/>
          <w:i w:val="false"/>
          <w:color w:val="000000"/>
          <w:sz w:val="22"/>
        </w:rPr>
        <w:t> </w:t>
      </w:r>
      <w:r>
        <w:rPr>
          <w:rFonts w:ascii="Times New Roman" w:hAnsi="Times New Roman"/>
          <w:b w:val="false"/>
          <w:i w:val="false"/>
          <w:color w:val="000000"/>
          <w:sz w:val="22"/>
        </w:rPr>
        <w:t>means money gained by labor or service, or money paid periodically to an applicant or member. Income includes, but is not limited to, disability, retirement pensions or benefits; interest, dividends, payments from long-term care insurance, or other income received from investments; income from property rentals; certain moneys related to real estate contracts; earnings from regular employment or self-employment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“IVH”</w:t>
      </w:r>
      <w:r>
        <w:rPr>
          <w:rFonts w:ascii="Times New Roman" w:hAnsi="Times New Roman"/>
          <w:b w:val="false"/>
          <w:i w:val="false"/>
          <w:color w:val="000000"/>
          <w:sz w:val="22"/>
        </w:rPr>
        <w:t> </w:t>
      </w:r>
      <w:r>
        <w:rPr>
          <w:rFonts w:ascii="Times New Roman" w:hAnsi="Times New Roman"/>
          <w:b w:val="false"/>
          <w:i w:val="false"/>
          <w:color w:val="000000"/>
          <w:sz w:val="22"/>
        </w:rPr>
        <w:t>means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for purposes of applicant or member personal and care decisions means durable power of attorney for health care, guardian, or next-of-kin (spouse, adult children, parents, adult siblings). For applicant or member financial decisions, “legal representative” means conservator, power of attorney, fiduciary or representative payee or next-of-kin (spouse, adult children, parents, adult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nursing home 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duly licensed nursing home administrator pursuant to Iowa Code chapter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provider”</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who is licensed to practice in the state of Iowa. Except as defined by Iowa law, a medical provider also means an advanced registered nurse practitioner or physician associate who is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 resident of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support”</w:t>
      </w:r>
      <w:r>
        <w:rPr>
          <w:rFonts w:ascii="Times New Roman" w:hAnsi="Times New Roman"/>
          <w:b w:val="false"/>
          <w:i w:val="false"/>
          <w:color w:val="000000"/>
          <w:sz w:val="22"/>
        </w:rPr>
        <w:t> </w:t>
      </w:r>
      <w:r>
        <w:rPr>
          <w:rFonts w:ascii="Times New Roman" w:hAnsi="Times New Roman"/>
          <w:b w:val="false"/>
          <w:i w:val="false"/>
          <w:color w:val="000000"/>
          <w:sz w:val="22"/>
        </w:rPr>
        <w:t>means the dollar amount which is billed monthly to the member or legal representative for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“PASRR”</w:t>
      </w:r>
      <w:r>
        <w:rPr>
          <w:rFonts w:ascii="Times New Roman" w:hAnsi="Times New Roman"/>
          <w:b w:val="false"/>
          <w:i w:val="false"/>
          <w:color w:val="000000"/>
          <w:sz w:val="22"/>
        </w:rPr>
        <w:t> </w:t>
      </w:r>
      <w:r>
        <w:rPr>
          <w:rFonts w:ascii="Times New Roman" w:hAnsi="Times New Roman"/>
          <w:b w:val="false"/>
          <w:i w:val="false"/>
          <w:color w:val="000000"/>
          <w:sz w:val="22"/>
        </w:rPr>
        <w:t>means preadmission screening and resident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care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“RCC”</w:t>
      </w:r>
      <w:r>
        <w:rPr>
          <w:rFonts w:ascii="Times New Roman" w:hAnsi="Times New Roman"/>
          <w:b w:val="false"/>
          <w:i w:val="false"/>
          <w:color w:val="000000"/>
          <w:sz w:val="22"/>
        </w:rPr>
        <w:t> </w:t>
      </w:r>
      <w:r>
        <w:rPr>
          <w:rFonts w:ascii="Times New Roman" w:hAnsi="Times New Roman"/>
          <w:b w:val="false"/>
          <w:i w:val="false"/>
          <w:color w:val="000000"/>
          <w:sz w:val="22"/>
        </w:rPr>
        <w:t>means the member, a social worker, a registered nurse, a dietitian, a medical provider, a recreation specialist and a mental health provider, as required, who are involved in reviewing the member’s assessment data and developing a collaborative care plan for the individual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“Resource”</w:t>
      </w:r>
      <w:r>
        <w:rPr>
          <w:rFonts w:ascii="Times New Roman" w:hAnsi="Times New Roman"/>
          <w:b w:val="false"/>
          <w:i w:val="false"/>
          <w:color w:val="000000"/>
          <w:sz w:val="22"/>
        </w:rPr>
        <w:t> </w:t>
      </w:r>
      <w:r>
        <w:rPr>
          <w:rFonts w:ascii="Times New Roman" w:hAnsi="Times New Roman"/>
          <w:b w:val="false"/>
          <w:i w:val="false"/>
          <w:color w:val="000000"/>
          <w:sz w:val="22"/>
        </w:rPr>
        <w:t>means assets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the legal or common-law wife or husband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“Surviving spouse”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the legal or common-law widow or widower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 activity”</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is considered as treatment. A therapist shall determine that a particular activity is beneficial to the well-being of a member and shall include this determination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“Veteran”</w:t>
      </w:r>
      <w:r>
        <w:rPr>
          <w:rFonts w:ascii="Times New Roman" w:hAnsi="Times New Roman"/>
          <w:b w:val="false"/>
          <w:i w:val="false"/>
          <w:color w:val="000000"/>
          <w:sz w:val="22"/>
        </w:rPr>
        <w:t> </w:t>
      </w:r>
      <w:r>
        <w:rPr>
          <w:rFonts w:ascii="Times New Roman" w:hAnsi="Times New Roman"/>
          <w:b w:val="false"/>
          <w:i w:val="false"/>
          <w:color w:val="000000"/>
          <w:sz w:val="22"/>
        </w:rPr>
        <w:t>means a person who served in the active military and who was discharged or released therefrom under honorable conditions. Honorable and general discharges qualify a person as a veteran. The veteran must be eligible for medical care in the DVA system (excluding financial eligibility).</w:t>
      </w:r>
    </w:p>
    <w:p>
      <w:pPr>
        <w:spacing w:before="0" w:after="0"/>
        <w:ind w:left="120"/>
        <w:jc w:val="both"/>
      </w:pPr>
      <w:r>
        <w:rPr>
          <w:rFonts w:ascii="Times New Roman" w:hAnsi="Times New Roman"/>
          <w:b w:val="false"/>
          <w:i w:val="false"/>
          <w:color w:val="000000"/>
          <w:sz w:val="22"/>
        </w:rPr>
        <w:t>In addition, veteran includes a person who served in the merchant marine or as a civil service crew member between December 7, 1941, and August 15, 1945.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“Visitation”</w:t>
      </w:r>
      <w:r>
        <w:rPr>
          <w:rFonts w:ascii="Times New Roman" w:hAnsi="Times New Roman"/>
          <w:b w:val="false"/>
          <w:i w:val="false"/>
          <w:color w:val="000000"/>
          <w:sz w:val="22"/>
        </w:rPr>
        <w:t> </w:t>
      </w:r>
      <w:r>
        <w:rPr>
          <w:rFonts w:ascii="Times New Roman" w:hAnsi="Times New Roman"/>
          <w:b w:val="false"/>
          <w:i w:val="false"/>
          <w:color w:val="000000"/>
          <w:sz w:val="22"/>
        </w:rPr>
        <w:t>is considered part of the individual’s therapeutic program. Visits are expected to benefit the individual’s treatment goals while meeting the security needs of the facility and ensuring the safety of the individual and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“Voluntary discharge”</w:t>
      </w:r>
      <w:r>
        <w:rPr>
          <w:rFonts w:ascii="Times New Roman" w:hAnsi="Times New Roman"/>
          <w:b w:val="false"/>
          <w:i w:val="false"/>
          <w:color w:val="000000"/>
          <w:sz w:val="22"/>
        </w:rPr>
        <w:t> </w:t>
      </w:r>
      <w:r>
        <w:rPr>
          <w:rFonts w:ascii="Times New Roman" w:hAnsi="Times New Roman"/>
          <w:b w:val="false"/>
          <w:i w:val="false"/>
          <w:color w:val="000000"/>
          <w:sz w:val="22"/>
        </w:rPr>
        <w:t>means a member wishes to terminate the member’s association with IVH on a permanent basis. This includes discharge for medical reasons which have been approved by a qualified medical provider. All other discharges are involuntary.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801—10.2</w:t>
      </w:r>
      <w:r>
        <w:rPr>
          <w:rFonts w:ascii="Times New Roman" w:hAnsi="Times New Roman"/>
          <w:b/>
          <w:i w:val="false"/>
          <w:color w:val="000000"/>
          <w:sz w:val="22"/>
        </w:rPr>
        <w:t xml:space="preserve">(35D)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Veterans, spouses of veterans, and Gold Star parents shall be eligible for admission to IVH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Veterans shall be eligible for admittance to IVH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care and treatment at a DVA medical center (excluding financial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admitted to the domiciliary level of care must meet DVA criteria stated in Department of Veterans Affairs, State Home Per Diem Program, Veterans Health Administration Directive 1610SH.01(1).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Homelessness does not disqualify persons otherwise eligible for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Spouses and surviving spouses shall be admitted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or surviving spouse shall have been married to a veteran for at least one year preceding date of application or date of death of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spouse of a veteran is eligible for admittance to IVH only if the veteran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a deceased veteran is eligible for admittance to IVH if the deceased veteran would also be eligible for admittance to IVH if still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Spouses, surviving spouses and Gold Star parents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A Gold Star parent shall be eligible for admittance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child died while serving on active duty in the armed forces of the United States during a time of military conflict or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Gold Star parents, spouses and surviving spouses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not a member of the United States armed forces may be eligible for admittance in accordance with the limitations described in subrule </w:t>
      </w:r>
      <w:hyperlink r:id="rId8">
        <w:r>
          <w:rPr>
            <w:rStyle w:val="Hyperlink"/>
            <w:rFonts w:ascii="Times New Roman" w:hAnsi="Times New Roman"/>
            <w:b w:val="false"/>
            <w:i w:val="false"/>
            <w:color w:val="000000"/>
            <w:sz w:val="22"/>
          </w:rPr>
          <w:t>10.2(1)</w:t>
        </w:r>
      </w:hyperlink>
      <w:r>
        <w:rPr>
          <w:rFonts w:ascii="Times New Roman" w:hAnsi="Times New Roman"/>
          <w:b w:val="false"/>
          <w:i w:val="false"/>
          <w:color w:val="000000"/>
          <w:sz w:val="22"/>
        </w:rPr>
        <w:t>,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was a member of the armed services of a nation with which the United States was allied during a time of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admission to a DVA medical center in accordance with U.S.C. Title 38, Chapter 17, Medical Care, Subchapter 2, Section 1710.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w:t>
      </w:r>
      <w:r>
        <w:rPr>
          <w:rFonts w:ascii="Times New Roman" w:hAnsi="Times New Roman"/>
          <w:b w:val="false"/>
          <w:i w:val="false"/>
          <w:color w:val="000000"/>
          <w:sz w:val="22"/>
        </w:rPr>
        <w:t>All applicants shall apply for admission to IVH in accordance with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All applicants shall make application to IVH through the county commission of veterans affairs in the applicant’s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the “Veteran Application for Admission to the Iowa Veterans Home,” Form 475-0409, the “Spouse’s Application for Admission to the Iowa Veterans Home,” Form 475-0410, or the “Gold Star Parent Application for Admission to the Iowa Veterans Home,” Form 475-2044. Separate applications shall be required for an eligible veteran and the spouse of the veteran when both veteran and spouse are applying for admission. The applications may be obtained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commission of veterans affairs’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DVA medical centers located in or serving veterans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Website: </w:t>
      </w:r>
      <w:hyperlink r:id="rId9">
        <w:r>
          <w:rPr>
            <w:rStyle w:val="Hyperlink"/>
            <w:rFonts w:ascii="Times New Roman" w:hAnsi="Times New Roman"/>
            <w:b w:val="false"/>
            <w:i w:val="false"/>
            <w:color w:val="000000"/>
            <w:sz w:val="22"/>
            <w:u w:val="single"/>
          </w:rPr>
          <w:t>ivh.iowa.gov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copy of a physical which has been completed within three months of application. If needed, a physical examination shall be scheduled by the applicant’s primary care provider. Information must be authenticated by the medical provider’s original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attached to the application before it is forwarded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veteran’s honorable discharge (DD214) from the armed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married or surviving spouse, a copy of the marriage certificate or evidence of a common-law marriage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a Gold Star parent, a copy of the child’s birth certificate and certification of the child’s death while serving on active duty in the armed forces of the United States during a time of military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marriage license(s), divorce decree(s) or death certificate of the spouse,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completed “Personal Functional Assessment,” Form 475-0837.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“Supplement to Application for Admission to the Iowa Veterans Home,” Form 475-0843.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“Financial Affidavit,” Form 475-0839.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requirements of subrules </w:t>
      </w:r>
      <w:hyperlink r:id="rId10">
        <w:r>
          <w:rPr>
            <w:rStyle w:val="Hyperlink"/>
            <w:rFonts w:ascii="Times New Roman" w:hAnsi="Times New Roman"/>
            <w:b w:val="false"/>
            <w:i w:val="false"/>
            <w:color w:val="000000"/>
            <w:sz w:val="22"/>
          </w:rPr>
          <w:t>10.3(2)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10.3(4)</w:t>
        </w:r>
      </w:hyperlink>
      <w:r>
        <w:rPr>
          <w:rFonts w:ascii="Times New Roman" w:hAnsi="Times New Roman"/>
          <w:b w:val="false"/>
          <w:i w:val="false"/>
          <w:color w:val="000000"/>
          <w:sz w:val="22"/>
        </w:rPr>
        <w:t xml:space="preserve"> have been met, the county commission of veterans affairs shall forward the completed application to the admissions office at IVH. No county shall require additional requirements for the application for admission beyond the requirements stated in these rules. Neither shall a county require additional forms to be filled out or provided by the applicant other than the forms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determinations are subject to approval by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Applications received by the admissions office shall be reviewed for completeness. The county commission of veterans affairs shall be required to submit additional information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admissions committee shall assign the level of care required by the applicant. If a special care unit or treatment is required, this shall be designated. If there is a question regarding the level of care for which the applicant qualifies, the applicant shall be scheduled for either a preadmission visit with appropriate staff or a site visit in order to make a determination of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Regardless of whether or not the applicant can be immediately admitted, the applicant shall be notified by the admissions coordinator of the applicant’s designated level of care. An applicant who does not wish to be admitted to the designated level of care may submit evidence to show that another level of care may be more appropriate. However, once the admissions committee makes a final determination, the applicant who does not wish to be admitted under the designated level of care may withdraw the application or have the application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When space is not immediately available in the level of care assigned or on the appropriate special care unit, the applicant’s name shall be placed on the appropriate waiting list for that level of care or special care unit in the order of the date the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When space is available at time of application, or when space becomes available in accordance with the designated waiting list, the applicant shall be scheduled for admittance to IVH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whose physical examination or personal functional assessment, or both if applicable, was completed more than three months prior to the scheduled date of admittance may be required to obtain another physical examination by a medical provider or complete a current personal functional assessment, or both if applicable. This information shall be reviewed to determine that the applicant is capable of functioning at the previously determined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requires a different level of care than previously determined shall be admitted to the level of care required if a bed is available or shall have the applicant’s name placed on the waiting list for the appropriate level of care in accordance with the date the original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admission to a nursing care unit, the PASRR shall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Applicant’s responsibilities. </w:t>
      </w:r>
      <w:r>
        <w:rPr>
          <w:rFonts w:ascii="Times New Roman" w:hAnsi="Times New Roman"/>
          <w:b w:val="false"/>
          <w:i w:val="false"/>
          <w:color w:val="000000"/>
          <w:sz w:val="22"/>
        </w:rPr>
        <w:t>Prior to admission to IVH, the applicant or a person acting on the applicant’s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Report any change in the applicant’s condition that could affect the previously determined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Report changes in mailing address, county or state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Provide additional information, verification or authorization for verification concerning the applicant’s circumstances, condition of health, and resources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Participate in a preadmission evaluation for level of care if required.</w:t>
      </w:r>
    </w:p>
    <w:p>
      <w:pPr>
        <w:spacing w:before="0" w:after="0"/>
        <w:ind w:left="120"/>
        <w:jc w:val="both"/>
      </w:pPr>
      <w:r>
        <w:rPr>
          <w:rFonts w:ascii="Times New Roman" w:hAnsi="Times New Roman"/>
          <w:b/>
          <w:i w:val="false"/>
          <w:color w:val="000000"/>
          <w:sz w:val="22"/>
        </w:rPr>
        <w:t>801—10.6</w:t>
      </w:r>
      <w:r>
        <w:rPr>
          <w:rFonts w:ascii="Times New Roman" w:hAnsi="Times New Roman"/>
          <w:b/>
          <w:i w:val="false"/>
          <w:color w:val="000000"/>
          <w:sz w:val="22"/>
        </w:rPr>
        <w:t xml:space="preserve">(35D) </w:t>
      </w:r>
      <w:r>
        <w:rPr>
          <w:rFonts w:ascii="Times New Roman" w:hAnsi="Times New Roman"/>
          <w:b/>
          <w:i w:val="false"/>
          <w:color w:val="000000"/>
          <w:sz w:val="22"/>
        </w:rPr>
        <w:t xml:space="preserve">Admission to IVH.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notified by the admissions coordinator to appear for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Upon arrival at IVH, the applicant or legal representative shall meet with the admissions staff for an admission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During the interview, the following items will be reviewed and signed by the applicant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Permission for Treatment, Form 475-0814.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Form 475-1833.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support, billing process and banking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An applicant becomes a member at that point in time when the applicant or legal representative signs and dates the “Contractual Agreement,” Form 475-1833, or otherwise authorizes, in writing, acceptance of the terms of admittance specified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Each member shall be placed on a unit providing the appropriate level of care based on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requiring a subsequent change in placement based on individual care needs shall be transferred to a unit which provides the appropriate level of care within the scope of its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shall have priority over new admissions for placement on a unit when a vacant bed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at IVH shall be provided in accordance with Iowa Code chapter </w:t>
      </w:r>
      <w:hyperlink r:id="rId1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Residential Care Facilities; </w:t>
      </w:r>
      <w:hyperlink r:id="rId15">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 Nursing Facilities; and DVA State Veterans Homes, Veterans Health Administration, M-5, Part 8, Chapter 2, Procedure for Obtaining Recognition of a State Veterans Home and Applicable Standards, 2.07, Standards for Nursing Care, and 2.08, Standards for Domiciliary Care, November 4, 1992.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801—10.7</w:t>
      </w:r>
      <w:r>
        <w:rPr>
          <w:rFonts w:ascii="Times New Roman" w:hAnsi="Times New Roman"/>
          <w:b w:val="false"/>
          <w:i w:val="false"/>
          <w:color w:val="000000"/>
          <w:sz w:val="22"/>
        </w:rPr>
        <w:t xml:space="preserve"> to </w:t>
      </w:r>
      <w:r>
        <w:rPr>
          <w:rFonts w:ascii="Times New Roman" w:hAnsi="Times New Roman"/>
          <w:b/>
          <w:i w:val="false"/>
          <w:color w:val="000000"/>
          <w:sz w:val="22"/>
        </w:rPr>
        <w:t>10.10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801—10.11</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rights shall be in accordance with those listed in </w:t>
      </w:r>
      <w:hyperlink r:id="rId16">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for members residing in the residential care facility level of care, those listed in </w:t>
      </w:r>
      <w:hyperlink r:id="rId17">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 xml:space="preserve"> for members residing in the nursing facility level of care, and those noted in Department of Veterans Affairs, State Veterans Homes, Veterans Health Administration, pertaining to residents of state veterans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 member has the right to share a room with the member’s spouse when both members consent to the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If a member is incompetent and not restored to legal capacity, or if the medical provider determines that a member is incapable of understanding and exercising these rights, the rights devolve to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some cases, a member may be determined to be in need of an agent by the DVA, the Social Security Administration or a similar funding source. In these cases, the commandant or designee may serve as agent subject to Iowa Code section </w:t>
      </w:r>
      <w:hyperlink r:id="rId18">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All rights and responsibilities regarding the financial awards shall devolve to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801—10.12</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has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timely report the existence of or changes in the member’s income, spouse’s income, assets or marital status, including the conversion of nonliquid assets to liquid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all benefits due (such as, but not limited to, Title XIX, DVA pension, DVA compensation, Social Security, private pension programs, or any combination), and accept the available billing programs offered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concerning the physical condition and, to the best of the member’s knowledge, accurate and complete information concerning present physical complaints, past illnesses, hospitalizations, medications and other matters related to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report unexpected changes in the member’s condition to the attending medical provider or other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participate in treatment planning, cooperate with the treatment team in carrying out the treatment plan, and to participate in the evaluation of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considerate of the rights of other members and staff and control behavior in respect to smoking, noise, and number of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treat other members and staff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respect the property of other members, staff, and IVH. A member or legal representative may be held financially responsible for any property damaged or destroyed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ask questions about anything that the member may not understand about the member’s care or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accept the consequences of the member’s actions if the member refuses treatment or fails to follow prescribed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To follow the rules and regulations of IVH regarding member care and conduct as set out in subrule </w:t>
      </w:r>
      <w:hyperlink r:id="rId19">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To keep scheduled appointments with staff. If unable to do so, the member is responsible for notifying appropriate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To maintain personal hygiene, including clothing, and maintain personal living area based on the member’s physical and mental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To follow all fire, safety and sanitation regulations as established by IVH and applicable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and verification of resources. A member or legal representative must fulfill the member support obligation for member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To carry Medicare Part B and Medicare Part D insurance if eligible. IVH shall buy the medical insurance portion of Medicare Part B and Medicare Part D if the member is not eligible to receive Medicare under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To delegate to IVH the authorization to enroll the member in Medicare Part B and Medicare Part D. The premium shall be deducted from the member’s social security or paid monthly with the member’s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To assign the benefits of Medicare Part B, Medicare Part D and other medical insurances to IVH. The cost of Medicare Part B, Medicare Part D and other medical insurances shall be used as an offset to the aggregate semiannual per diem rate calculation according to the particular level of care as calculated in January and July of each year for the preceding six months and effective March 1 and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is responsible for the full payment of the member’s support charges within the calendar month that the monthly support bill is received. Failure to pay a monthly support bill within 30 days of issuance may result in discharge from IVH unless prior arrangements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when a legal representative is responsible for the handling of the member’s resources, the legal representative shall keep any records necessary and provide all information or verification required for the computation of member support as set out in rule </w:t>
      </w:r>
      <w:hyperlink r:id="rId2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 xml:space="preserve">(35D). Failure of the legal representative to do so may result in the discharge of the member. In some cases, IVH may act to have the commandant or designee established as the member’s fiduciary or agent as set out in subrule </w:t>
      </w:r>
      <w:hyperlink r:id="rId21">
        <w:r>
          <w:rPr>
            <w:rStyle w:val="Hyperlink"/>
            <w:rFonts w:ascii="Times New Roman" w:hAnsi="Times New Roman"/>
            <w:b w:val="false"/>
            <w:i w:val="false"/>
            <w:color w:val="000000"/>
            <w:sz w:val="22"/>
          </w:rPr>
          <w:t>10.11(4)</w:t>
        </w:r>
      </w:hyperlink>
      <w:r>
        <w:rPr>
          <w:rFonts w:ascii="Times New Roman" w:hAnsi="Times New Roman"/>
          <w:b w:val="false"/>
          <w:i w:val="false"/>
          <w:color w:val="000000"/>
          <w:sz w:val="22"/>
        </w:rPr>
        <w:t>. In those cases when a guardian or conservator of a member fails to keep necessary records or provide needed information or verification or to meet the member support obligation, IVH may notify the court of problems and request to establish another individual as guardian or conservator. The conservator of a member shall submit a copy of the annual conservatorship report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val="false"/>
          <w:color w:val="000000"/>
          <w:sz w:val="22"/>
        </w:rPr>
        <w:t>When a member temporarily needs a level of care that is not offered by IVH, the member shall be referred by IVH medical staff to a DVA medical center or other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who is treated at a DVA medical center has coinsurance to supplement Medicare, this coinsurance shall be used for the DVA medical center charges. IVH shall be responsible for all DVA medical center charges if the member does not carry coinsurance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chooses a medical facility other than a DVA medical center or other medical facility as referred by IVH medical staff, the member is responsible for costs resulting from care at the medical facility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801—10.14</w:t>
      </w:r>
      <w:r>
        <w:rPr>
          <w:rFonts w:ascii="Times New Roman" w:hAnsi="Times New Roman"/>
          <w:b/>
          <w:i w:val="false"/>
          <w:color w:val="000000"/>
          <w:sz w:val="22"/>
        </w:rPr>
        <w:t xml:space="preserve">(35D) </w:t>
      </w:r>
      <w:r>
        <w:rPr>
          <w:rFonts w:ascii="Times New Roman" w:hAnsi="Times New Roman"/>
          <w:b/>
          <w:i w:val="false"/>
          <w:color w:val="000000"/>
          <w:sz w:val="22"/>
        </w:rPr>
        <w:t xml:space="preserve">Computation of member support. </w:t>
      </w:r>
      <w:r>
        <w:rPr>
          <w:rFonts w:ascii="Times New Roman" w:hAnsi="Times New Roman"/>
          <w:b w:val="false"/>
          <w:i w:val="false"/>
          <w:color w:val="000000"/>
          <w:sz w:val="22"/>
        </w:rPr>
        <w:t>As a condition of admittance to and residency in IVH, each member is required to contribute toward the cost of that member’s care based on that member’s resources and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monthly member support bill shall be sent to the member or legal representative charging the member for care in the previous month with any necessary adjustment for prior months. A member shall be required to pay member support charges from the member’s liquid assets and long-term care insurance benefits and from the member’s income. The monthly member support charge shall be the billable days, as set out in subrule </w:t>
      </w:r>
      <w:hyperlink r:id="rId22">
        <w:r>
          <w:rPr>
            <w:rStyle w:val="Hyperlink"/>
            <w:rFonts w:ascii="Times New Roman" w:hAnsi="Times New Roman"/>
            <w:b w:val="false"/>
            <w:i w:val="false"/>
            <w:color w:val="000000"/>
            <w:sz w:val="22"/>
          </w:rPr>
          <w:t>10.14(3)</w:t>
        </w:r>
      </w:hyperlink>
      <w:r>
        <w:rPr>
          <w:rFonts w:ascii="Times New Roman" w:hAnsi="Times New Roman"/>
          <w:b w:val="false"/>
          <w:i w:val="false"/>
          <w:color w:val="000000"/>
          <w:sz w:val="22"/>
        </w:rPr>
        <w:t xml:space="preserve">, multiplied by the appropriate per diem from rule </w:t>
      </w:r>
      <w:hyperlink r:id="rId23">
        <w:r>
          <w:rPr>
            <w:rStyle w:val="Hyperlink"/>
            <w:rFonts w:ascii="Times New Roman" w:hAnsi="Times New Roman"/>
            <w:b w:val="false"/>
            <w:i w:val="false"/>
            <w:color w:val="000000"/>
            <w:sz w:val="22"/>
          </w:rPr>
          <w:t>801—10.15</w:t>
        </w:r>
      </w:hyperlink>
      <w:r>
        <w:rPr>
          <w:rFonts w:ascii="Times New Roman" w:hAnsi="Times New Roman"/>
          <w:b w:val="false"/>
          <w:i w:val="false"/>
          <w:color w:val="000000"/>
          <w:sz w:val="22"/>
        </w:rPr>
        <w:t xml:space="preserve">(35D). This amount shall be reduced by any offsets as set out in subrules </w:t>
      </w:r>
      <w:hyperlink r:id="rId24">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The member or legal representative shall pay an amount not to exceed the amount calculated based on the resources available for the cost of care as set out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Title XIX residents. If a member is certified as eligible and participating in the Title XIX program, the amount of payment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Billable days (non-Title XIX). Billable days for members not participating in the Title XIX program shall be counted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days in the month for which the member received care (in-house).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leave days in excess of the 12 free days up through the fifty-ninth leave day. Any leave days in excess of 59 days shall be considered billable, and the member must pay the full support rate, not the amount determined by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first ten days of each hospitalization. After ten days, IVH assumes the authority to discharge the resident but reserves the right to negotiate an extension to the bed hold, if warranted, in the best interest of the resident and family, at the discretion of the commandant or designee. A hospital stay may occur more than once in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801—10.15</w:t>
      </w:r>
      <w:r>
        <w:rPr>
          <w:rFonts w:ascii="Times New Roman" w:hAnsi="Times New Roman"/>
          <w:b/>
          <w:i w:val="false"/>
          <w:color w:val="000000"/>
          <w:sz w:val="22"/>
        </w:rPr>
        <w:t xml:space="preserve">(35D) </w:t>
      </w:r>
      <w:r>
        <w:rPr>
          <w:rFonts w:ascii="Times New Roman" w:hAnsi="Times New Roman"/>
          <w:b/>
          <w:i w:val="false"/>
          <w:color w:val="000000"/>
          <w:sz w:val="22"/>
        </w:rPr>
        <w:t xml:space="preserve">Per diems.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For members not participating in the Title XIX program, the per diem by which the billable days shall be multiplied shall be established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Nursing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charge for care is the per diem rate calculated in January and July of each year for the preceding six-month period and is submitted by IVH to the Iowa Medicaid enterprise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updated per diem rate shall be effective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Domiciliary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cost of care per member shall be determined in January and July of each year for the preceding six-month period and calculated in a manner similar to the nursing level of care. This cost shall be the updated per diem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 diem rate shall be adjusted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Veteran members for whom IVH receives a per diem from the DVA (under Title 38). IVH shall consider this per diem as a third-party reimbursement to the charge for care and shall be an offset to the member support bill. The offset of the per diem received (billed to DVA) shall be shown as an offset for the month billed. The provisions of 38 U.S.C. 1745(a), which were established by Section 211 of the Veterans Benefits, Health Care, and Information Technology Act of 2006 (Public Law 109-461), set forth a mechanism for paying a higher per diem rate for certain veterans who have service-connected disabilities and are receiving nursing home care in state homes. If IVH receives this higher per diem rate from the DVA, the member will not have a support 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daily per diem charge shall be reduced by an amount equal to the appropriate Medicare Part B and Medicare Part D premiums paid by the enrolled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For members carrying other medical insurance upon admission and continuing to carry other medical insurance after admission. The member support charge shall be reduced by an amount equal to the other medical insurance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not eligible for Title XIX medical assistance. The member support charge shall be reduced in accordance with subrules </w:t>
      </w:r>
      <w:hyperlink r:id="rId26">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if applicable. The member shall then contribute all remaining available resources up to the charge for care.</w:t>
      </w:r>
    </w:p>
    <w:p>
      <w:pPr>
        <w:spacing w:before="0" w:after="0"/>
        <w:ind w:left="120"/>
        <w:jc w:val="both"/>
      </w:pPr>
      <w:r>
        <w:rPr>
          <w:rFonts w:ascii="Times New Roman" w:hAnsi="Times New Roman"/>
          <w:b w:val="false"/>
          <w:i w:val="false"/>
          <w:color w:val="000000"/>
          <w:sz w:val="22"/>
        </w:rPr>
        <w:t>Members receiving DVA pension and aid and attendance shall be considered as having used the amount equal to aid and attendance first in payment for their care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Payment of support is due within ten business days after the monthly support bill is received or ten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payment is not received by IVH within 30 days following the due date, a notice of discharge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extenuating circumstances, the member or legal representative should meet with the commandant or designee to work out a schedule of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801—10.16</w:t>
      </w:r>
      <w:r>
        <w:rPr>
          <w:rFonts w:ascii="Times New Roman" w:hAnsi="Times New Roman"/>
          <w:b/>
          <w:i w:val="false"/>
          <w:color w:val="000000"/>
          <w:sz w:val="22"/>
        </w:rPr>
        <w:t xml:space="preserve">(35D) </w:t>
      </w:r>
      <w:r>
        <w:rPr>
          <w:rFonts w:ascii="Times New Roman" w:hAnsi="Times New Roman"/>
          <w:b/>
          <w:i w:val="false"/>
          <w:color w:val="000000"/>
          <w:sz w:val="22"/>
        </w:rPr>
        <w:t xml:space="preserve">Assets. </w:t>
      </w:r>
      <w:r>
        <w:rPr>
          <w:rFonts w:ascii="Times New Roman" w:hAnsi="Times New Roman"/>
          <w:b w:val="false"/>
          <w:i w:val="false"/>
          <w:color w:val="000000"/>
          <w:sz w:val="22"/>
        </w:rPr>
        <w:t xml:space="preserve">The following rules specify the treatment of assets, as defined in rule </w:t>
      </w:r>
      <w:hyperlink r:id="rId29">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payment of member support as described in rule </w:t>
      </w:r>
      <w:hyperlink r:id="rId3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Only liquid assets shall be considered in the payment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have applied for and are eligible to receive Title XIX medical assistance, rule </w:t>
      </w:r>
      <w:hyperlink r:id="rId31">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Financial eligibility for Title XIX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For members not eligible for Title XIX medical assistance,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Assets considered. </w:t>
      </w:r>
      <w:r>
        <w:rPr>
          <w:rFonts w:ascii="Times New Roman" w:hAnsi="Times New Roman"/>
          <w:b w:val="false"/>
          <w:i w:val="false"/>
          <w:color w:val="000000"/>
          <w:sz w:val="22"/>
        </w:rPr>
        <w:t>The assets considered shall include all assets owned by the member, or if married, both the member and the spouse living in the community,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homestead is exempt as follows: The exempt homestead is defined as the house, used as a home, and may contain one or more contiguous lots or tracts of land, including buildings and appurtenances. Contiguous means that portions of the homestead cannot be separated from the home by intervening property owned by others. However, the homestead is considered contiguous if portions of it are separated from the home only because of roads or other public rights-of-way. Property that is not exempt as part of the homestead shall be treated in accordance with the rules of this chapter.</w:t>
      </w:r>
    </w:p>
    <w:p>
      <w:pPr>
        <w:spacing w:before="0" w:after="0"/>
        <w:ind w:left="120"/>
        <w:jc w:val="both"/>
      </w:pPr>
      <w:r>
        <w:rPr>
          <w:rFonts w:ascii="Times New Roman" w:hAnsi="Times New Roman"/>
          <w:b w:val="false"/>
          <w:i w:val="false"/>
          <w:color w:val="000000"/>
          <w:sz w:val="22"/>
        </w:rPr>
        <w:t>The homestead, as defined, can retain its exempt status for a period of time not to exceed 36 months, while the member, spouse and dependents are temporarily absent, provided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is a specific purpose for the absence.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spouse or dependents intend to return to the homestead when the reason for the absence has been accomplished.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spouse or dependents can reasonably be expected to return to the home during the 36-month time limitation.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person is an applicant at the time the homestead becomes vacant due to the absence of the applicant, spouse or dependents, the first month of the 36-month period is the month of admission to IVH.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person is a member when the homestead becomes vacant due to the absence of the member, spouse or dependents, the first month of the 36-month period is the month following the month in which the homestead is vacated.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homestead that does not qualify for this exemption or any homestead that is vacant for a period of time exceeding the 36-month limit shall be treated in accordance with subrule </w:t>
      </w:r>
      <w:hyperlink r:id="rId32">
        <w:r>
          <w:rPr>
            <w:rStyle w:val="Hyperlink"/>
            <w:rFonts w:ascii="Times New Roman" w:hAnsi="Times New Roman"/>
            <w:b w:val="false"/>
            <w:i w:val="false"/>
            <w:color w:val="000000"/>
            <w:sz w:val="22"/>
          </w:rPr>
          <w:t>10.16(3)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the member,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Exempt income-producing property includes, but is not limited to, tools, equipment, livestock, inventory and supplies, and grain held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the member or spouse as to warrant its exclusion under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Assets of a blind or disabled person who has a plan for achieving self-support as determined by the division of vocational rehabilitation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Assets of Native Americans belonging to certain tribes arising from judgment fund and payments from certain land and subsurface mineral rights. This does not include per capita payments from casino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amounts arising from Public Law 101-239 which provides assistance to veterans under the Agent Orange product liability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or other assistance provided pursuant to federal statute as a result of a presidential disaster declaration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that is irrevocable and separately identifiable, having a principal amount not in excess of a predetermined amount set by the department of human services, without an itemized billing, for the member or spouse to meet the burial and related expenses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 living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Relocation assistance provided by a state or local government to a member or spouse comparable to assistance provided under Title II of the Uniform Relocation Assistance and Real Property Acquisition Policies Act of 1970 which is subject to the treatment required by Section 216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asset excluded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Assets of a single member.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in a care facility. </w:t>
      </w:r>
      <w:r>
        <w:rPr>
          <w:rFonts w:ascii="Times New Roman" w:hAnsi="Times New Roman"/>
          <w:b w:val="false"/>
          <w:i w:val="false"/>
          <w:color w:val="000000"/>
          <w:sz w:val="22"/>
        </w:rPr>
        <w:t>If a member’s spouse is residing in a nursing facility, the member shall be treated as a single member for asset determination purposes. If the member and the spouse become members of IVH on the same day, all resources of both members shall be added together and split one-half to each member for asset determination purposes. If the spouse is residing in a residential care facility or an assisted living facility, the rules pertaining to a spouse living in the community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living in the community.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w:t>
      </w:r>
    </w:p>
    <w:p>
      <w:pPr>
        <w:spacing w:before="0" w:after="0"/>
        <w:ind w:left="120"/>
        <w:jc w:val="both"/>
      </w:pPr>
      <w:r>
        <w:rPr>
          <w:rFonts w:ascii="Times New Roman" w:hAnsi="Times New Roman"/>
          <w:b w:val="false"/>
          <w:i w:val="false"/>
          <w:color w:val="000000"/>
          <w:sz w:val="22"/>
        </w:rPr>
        <w:t>The assets attributed to the member shall be determined from the documented assets of both the member and spouse living in the community as of the first day of admission to IVH. All resources of both the member and the spouse shall be added together. If the total resources are less than the predetermined amount set by the department of human services, then that amount is awarded to the community spouse. The amount in excess of this predetermined figure, up to an equal amount, if applicable, shall be awarded to the member. Any resources over this combined amount shall be split one-half to the member and one-half to the spouse up to a predetermined maximum amount set by the department of human services. All resources over the predetermined maximum amount shall be awarded to the member.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has transferred assets to the spouse living in the community under a court order for the support of the spouse, the amount transferred shall be the amount attributed to the spouse to the extent it exceeds the specified limits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the month in which the member is admitted, no attributed resources of the spouse living in the community shall be deemed available to the member during the continuous period in which the member is at IVH. Resources which are owned wholly or in part by the member and which are not transferred to the spouse living in the community shall be counted in determining member support. The assets of the member shall not count for member support to the extent that the member intends to transfer and does transfer the assets to the spouse living in the community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results. The department of human services shall provide the member and spouse and legal representative, if applicable, a report of the results of the attribution. The report shall state that either has a right to appeal the attribution in accordance with rule </w:t>
      </w:r>
      <w:hyperlink r:id="rId33">
        <w:r>
          <w:rPr>
            <w:rStyle w:val="Hyperlink"/>
            <w:rFonts w:ascii="Times New Roman" w:hAnsi="Times New Roman"/>
            <w:b w:val="false"/>
            <w:i w:val="false"/>
            <w:color w:val="000000"/>
            <w:sz w:val="22"/>
          </w:rPr>
          <w:t>801—10.45</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based on estrangement. </w:t>
      </w:r>
      <w:r>
        <w:rPr>
          <w:rFonts w:ascii="Times New Roman" w:hAnsi="Times New Roman"/>
          <w:b w:val="false"/>
          <w:i w:val="false"/>
          <w:color w:val="000000"/>
          <w:sz w:val="22"/>
        </w:rPr>
        <w:t>When it is established by a disinterested third-party source and confirmed by the commandant or designee that the member is estranged from the spouse living in the community, member support shall be determined on the basis of resources of a single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owns an available, nonliquid, nonexempt asset, the value of which would affect the computation of member support as described in rule </w:t>
      </w:r>
      <w:hyperlink r:id="rId34">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the asset shall be liquidated. The value of that asset shall be considered in the computation of member support. The following paragraphs are to be considered when liquidating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market value, or equity value, is the gross price for which property or an item can be sold on the open market less any legal debts, claims or liens against the property or item. IVH shall consider the condition and location of an item or property and local market conditions in determining the gross sales price of the item or property. In order for a loan or claim to be considered a lien or encumbrance against an asset, the loan or claim must be made under circumstances that result in the creditors having a recorded legal right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asset must be available in order for it to be treated in accordance with the rules of this chapter. An asset is considered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owns the property in part or in full and has control over it; that is, it can be occupied, rented, leased, sold or otherwise used and disposed of at the member’s discretion;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legal interest in a liquidated sum and has the legal ability to make the sum available for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member must take all appropriate action to gain title and control of any asset of which the value would affect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the asset may be adjusted if the member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Advertises the asset for sale, through appropriate methods, on a continual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Lists the asset with a real estate broker or other agent appropriate to the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Asks a reasonable price which is consistent with the asking price of similar items of property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refuse a reasonable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not sell the asset for an unreasonably low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proceeds from the sale of an asset, conversion of an asset to cash, or receipt of any cash asset as defined in rule </w:t>
      </w:r>
      <w:hyperlink r:id="rId35">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(35D) shall be used in the computation of member support beginning with the calendar month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801—10.17</w:t>
      </w:r>
      <w:r>
        <w:rPr>
          <w:rFonts w:ascii="Times New Roman" w:hAnsi="Times New Roman"/>
          <w:b/>
          <w:i w:val="false"/>
          <w:color w:val="000000"/>
          <w:sz w:val="22"/>
        </w:rPr>
        <w:t xml:space="preserve">(35D) </w:t>
      </w:r>
      <w:r>
        <w:rPr>
          <w:rFonts w:ascii="Times New Roman" w:hAnsi="Times New Roman"/>
          <w:b/>
          <w:i w:val="false"/>
          <w:color w:val="000000"/>
          <w:sz w:val="22"/>
        </w:rPr>
        <w:t xml:space="preserve">Divestment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“Intentional divestment of assets”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knowingly sell, give or transfer by member or legal representative for less than fair market value, any asset, the value of which would affect member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knowingly and voluntarily place an asset, the value of which would affect member support, under a trust or other legal instrument that ends or limits the availability of that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Transfers of resources shall be presumed to be divestiture unless the individual furnishes convincing evidence to establish that the transaction was exclusively for some other purpose. In addition to giving away or selling assets for less than fair market value, examples of transferring resources include, but are not limited to, establishing a trust, contributing to a charity or other organization, removing a name from a joint bank account, or decreasing the extent of ownership interest in a resource or any other transfer as defined in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Convincing evidence to establish that the transaction was not a divestiture may include documents, letters, and contemporaneous writings, as well as other circumstantial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rebutting the presumption that the transfer was a divestiture, the burden of proof is on the individual to establish: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fair market value of the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compensation was provided pursuant to an agreement, contract, or expectation in exchange for the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agreement, contract, or expectation was established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legal representative shall not knowingly and intentionally divest an asset, as set out in subrule </w:t>
      </w:r>
      <w:hyperlink r:id="rId36">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within the period established by Title XIX statute prior to admission, with the intention of reducing the applicant’s member support or of obtaining admission to IVH.</w:t>
      </w:r>
    </w:p>
    <w:p>
      <w:pPr>
        <w:spacing w:before="0" w:after="0"/>
        <w:ind w:left="120"/>
        <w:jc w:val="both"/>
      </w:pPr>
      <w:r>
        <w:rPr>
          <w:rFonts w:ascii="Times New Roman" w:hAnsi="Times New Roman"/>
          <w:b w:val="false"/>
          <w:i w:val="false"/>
          <w:color w:val="000000"/>
          <w:sz w:val="22"/>
        </w:rPr>
        <w:t>When it is determined by the commandant or designee that an applicant did intentionally divest an asset, upon admission that applicant may be charged member support as if the divestment did not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legal representative shall not knowingly and intentionally divest an asset, as described in subrule </w:t>
      </w:r>
      <w:hyperlink r:id="rId37">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while a member with the intention of reducing the member support.</w:t>
      </w:r>
    </w:p>
    <w:p>
      <w:pPr>
        <w:spacing w:before="0" w:after="0"/>
        <w:ind w:left="120"/>
        <w:jc w:val="both"/>
      </w:pPr>
      <w:r>
        <w:rPr>
          <w:rFonts w:ascii="Times New Roman" w:hAnsi="Times New Roman"/>
          <w:b w:val="false"/>
          <w:i w:val="false"/>
          <w:color w:val="000000"/>
          <w:sz w:val="22"/>
        </w:rPr>
        <w:t>When it is discovered that a member or legal representative improperly divested an asset(s), that member may be charged member support as if the divestment did not occur.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801—10.18</w:t>
      </w:r>
      <w:r>
        <w:rPr>
          <w:rFonts w:ascii="Times New Roman" w:hAnsi="Times New Roman"/>
          <w:b/>
          <w:i w:val="false"/>
          <w:color w:val="000000"/>
          <w:sz w:val="22"/>
        </w:rPr>
        <w:t xml:space="preserve">(35D) </w:t>
      </w:r>
      <w:r>
        <w:rPr>
          <w:rFonts w:ascii="Times New Roman" w:hAnsi="Times New Roman"/>
          <w:b/>
          <w:i w:val="false"/>
          <w:color w:val="000000"/>
          <w:sz w:val="22"/>
        </w:rPr>
        <w:t xml:space="preserve">Commencement of civil action. </w:t>
      </w:r>
      <w:r>
        <w:rPr>
          <w:rFonts w:ascii="Times New Roman" w:hAnsi="Times New Roman"/>
          <w:b w:val="false"/>
          <w:i w:val="false"/>
          <w:color w:val="000000"/>
          <w:sz w:val="22"/>
        </w:rPr>
        <w:t xml:space="preserve">The commandant or designee may file a civil action for money judgment against a member or discharged member or the member’s legal representative for support charges when the member or discharged member fails to pay member support in accordance with </w:t>
      </w:r>
      <w:hyperlink r:id="rId38">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801—10.19</w:t>
      </w:r>
      <w:r>
        <w:rPr>
          <w:rFonts w:ascii="Times New Roman" w:hAnsi="Times New Roman"/>
          <w:b/>
          <w:i w:val="false"/>
          <w:color w:val="000000"/>
          <w:sz w:val="22"/>
        </w:rPr>
        <w:t xml:space="preserve">(35D) </w:t>
      </w:r>
      <w:r>
        <w:rPr>
          <w:rFonts w:ascii="Times New Roman" w:hAnsi="Times New Roman"/>
          <w:b/>
          <w:i w:val="false"/>
          <w:color w:val="000000"/>
          <w:sz w:val="22"/>
        </w:rPr>
        <w:t xml:space="preserve">Income. </w:t>
      </w:r>
      <w:r>
        <w:rPr>
          <w:rFonts w:ascii="Times New Roman" w:hAnsi="Times New Roman"/>
          <w:b w:val="false"/>
          <w:i w:val="false"/>
          <w:color w:val="000000"/>
          <w:sz w:val="22"/>
        </w:rPr>
        <w:t xml:space="preserve">This rule describes the treatment of income, as defined at rule </w:t>
      </w:r>
      <w:hyperlink r:id="rId39">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computation of member support as described at rule </w:t>
      </w:r>
      <w:hyperlink r:id="rId4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are eligible for Title XIX medical assistance, rule </w:t>
      </w:r>
      <w:hyperlink r:id="rId41">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For those members participating in the Title XIX medical assistance program, the difference between the $140 personal needs allowance and the Title XIX personal needs allowance shall be returned to the member out of individual member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For members who are not eligible for Title XIX,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income are exempt in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earned income of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Unearned income restricted to the needs of the spouse or dependents (social security, DVA,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income that can be specifically identified as accruing to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Nonrecurring gifts, contributions or winnings, not to exceed $60 in a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income of less than $20 per month from any one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bonus for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earnings received by a member for that member’s participation in money-raising activities administered by veterans’ organizations or auxiliaries (i.e., poppies).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money received by a member from the sale of items resulting from a therapeutic activity (i.e., items sold in the IVH gift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$150 received by a member in a month for participation in the incentive therapy or other programs as described in rule </w:t>
      </w:r>
      <w:hyperlink r:id="rId42">
        <w:r>
          <w:rPr>
            <w:rStyle w:val="Hyperlink"/>
            <w:rFonts w:ascii="Times New Roman" w:hAnsi="Times New Roman"/>
            <w:b w:val="false"/>
            <w:i w:val="false"/>
            <w:color w:val="000000"/>
            <w:sz w:val="22"/>
          </w:rPr>
          <w:t>801—10.30</w:t>
        </w:r>
      </w:hyperlink>
      <w:r>
        <w:rPr>
          <w:rFonts w:ascii="Times New Roman" w:hAnsi="Times New Roman"/>
          <w:b w:val="false"/>
          <w:i w:val="false"/>
          <w:color w:val="000000"/>
          <w:sz w:val="22"/>
        </w:rPr>
        <w:t>(35D), for members in the domiciliary level of care. For members in the nursing level of care, the first $75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Personal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In-kind contributions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Title XIX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Yearly DVA compensation clothing allowance for those who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income as specifically exempted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income similar in its origin to the assets excluded in subparagraphs </w:t>
      </w:r>
      <w:hyperlink r:id="rId43">
        <w:r>
          <w:rPr>
            <w:rStyle w:val="Hyperlink"/>
            <w:rFonts w:ascii="Times New Roman" w:hAnsi="Times New Roman"/>
            <w:b w:val="false"/>
            <w:i w:val="false"/>
            <w:color w:val="000000"/>
            <w:sz w:val="22"/>
          </w:rPr>
          <w:t>10.16(2)</w:t>
        </w:r>
      </w:hyperlink>
      <w:r>
        <w:rPr>
          <w:rFonts w:ascii="Times New Roman" w:hAnsi="Times New Roman"/>
          <w:b w:val="false"/>
          <w:i/>
          <w:color w:val="000000"/>
          <w:sz w:val="22"/>
        </w:rPr>
        <w:t>“a”</w:t>
      </w:r>
      <w:r>
        <w:rPr>
          <w:rFonts w:ascii="Times New Roman" w:hAnsi="Times New Roman"/>
          <w:b w:val="false"/>
          <w:i w:val="false"/>
          <w:color w:val="000000"/>
          <w:sz w:val="22"/>
        </w:rPr>
        <w:t>(6)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Income from employment as outlined in the IVH discharge planning policy (IVH policy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needs allowance. All members shall have an amount exempted from their monthly income intended to cover the purchase of clothing and incidentals.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up to the first $140 shall be kept as a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personal needs allowance shall be subtracted from the member’s income prior to determination of moneys to which the spouse may be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type of income not specifically exempted shall be considered for the payment of member support as provided in rule </w:t>
      </w:r>
      <w:hyperlink r:id="rId44">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income from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Nontrust property. Where there is nontrust property, income paid in the name of one person shall be available only to that person unless the document providing income specifies differently. If payment of income is in the name of two persons, one-half is attributed to each. If payment is in the name of several persons, the income shall be considered in proportion to their ownership interest. If the member or spouse can establish different ownership by a preponderance of evidence, the income shall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Trust property. Where there is trust property, the payment of income shall be considered available as provided in the trust. In the absence of specific provisions in the trust, the income shall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income to consider in the computation of member support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monthly pensions and entitlements. The amount of income to be considered is the gross amount of the monthly entitlement or pension received less any medical insurance premium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Investments or nonrecurring lump sum payments. Net unearned income from investments or nonrecurring lump sum payments shall be determined by deducting income-producing costs from the gross unearned income. Income-producing costs include, but are not limited to, brokerage fees, property manager’s salary, maintenance costs and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sold on contract. The amount of income to consider shall be the amount received minus any payments for mortgage, taxes, insurance or assessments still owed on the property and payable by the contract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Earned income from a rental, sole or partnership enterprise. The amount of income to consider shall be the net profit figure as determined for the Internal Revenue Service on the member’s income tax return.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deductions of the previous year’s state and federal taxes and depreciation on the income tax return are not allowable deductions for the purpose of the computation of member support. If a tax return is not available, the member or legal representative shall provide all information and verification needed in order to correctly compute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Partnership income. The member’s share of the net profit shall be determined in the same manner as the partnership percentage as determined for the Internal Revenue Service’s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Member income diversion to dependent spouse not living at IVH. A portion of the member’s income shall be diverted to the spouse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living in the community. One-half the income in exclusion of an amount equal to aid and attendance and after reduction of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permanently in another nursing home. Member shall be treated as single. If the member is in receipt of a DVA pension, the amount of income provided the spouse would be the DVA pension dependency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Spouses living in a residential care facility. Spouses shall be treated under the same rules as a spouse living in the community in accordance with paragraph </w:t>
      </w:r>
      <w:hyperlink r:id="rId45">
        <w:r>
          <w:rPr>
            <w:rStyle w:val="Hyperlink"/>
            <w:rFonts w:ascii="Times New Roman" w:hAnsi="Times New Roman"/>
            <w:b w:val="false"/>
            <w:i w:val="false"/>
            <w:color w:val="000000"/>
            <w:sz w:val="22"/>
          </w:rPr>
          <w:t>10.19(3)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current court order proceedings and guardian/conservatorship appointments regarding financial obligations shall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Income disbursements.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diversions to spouse or valid court orders shall be mailed or sent electronically as designated or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checks or electronic payments shall be sent to the proper recipient no later than the eighth day of any given month or, at IVH’s option, five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Monthly income disbursements to a community spouse may be delayed or canceled if there is an overdue amount owed for support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801—10.20</w:t>
      </w:r>
      <w:r>
        <w:rPr>
          <w:rFonts w:ascii="Times New Roman" w:hAnsi="Times New Roman"/>
          <w:b/>
          <w:i w:val="false"/>
          <w:color w:val="000000"/>
          <w:sz w:val="22"/>
        </w:rPr>
        <w:t xml:space="preserve">(35D) </w:t>
      </w:r>
      <w:r>
        <w:rPr>
          <w:rFonts w:ascii="Times New Roman" w:hAnsi="Times New Roman"/>
          <w:b/>
          <w:i w:val="false"/>
          <w:color w:val="000000"/>
          <w:sz w:val="22"/>
        </w:rPr>
        <w:t xml:space="preserve">Other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regular monthly payments of unearned income, it shall be included in the resources available for the payment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periodic recurring income which is received less frequently than monthly, this countable income, after the deduction of any allowable income-producing expenses, shall be considered in the month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a nonrecurring retroactive payment from a specific entitlement source for a prior period of time, it shall be considered as income in the month received. The aid and attendance amount of the DVA pension shall be computed as a manual adjustment (available to member due to IVH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Income from a particular source is considered terminated as of the date the member receives the last income payment from that source or the date that a sole or partnership enterprise ends,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When income from a particular source decreases in a calendar month, the decrease in income shall be considered in the computation of that month’s member support. Income from a particular source is considered to be decreased as of the date the member receives the first income payment in the decreased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When income from a particular source increases in a month, the increase in income shall be considered in the computation of that month’s member support. Income from a particular source is considered to be increased as of the date the member receives the first income payment in the increased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Recurring lump sum payments shall be treated as income in the month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10.20(8)</w:t>
      </w:r>
      <w:r>
        <w:rPr>
          <w:rFonts w:ascii="Times New Roman" w:hAnsi="Times New Roman"/>
          <w:b w:val="false"/>
          <w:i w:val="false"/>
          <w:color w:val="000000"/>
          <w:sz w:val="22"/>
        </w:rPr>
        <w:t> </w:t>
      </w:r>
      <w:r>
        <w:rPr>
          <w:rFonts w:ascii="Times New Roman" w:hAnsi="Times New Roman"/>
          <w:b w:val="false"/>
          <w:i w:val="false"/>
          <w:color w:val="000000"/>
          <w:sz w:val="22"/>
        </w:rPr>
        <w:t>Nonrecurring lump sum payments earned prior to admission, regardless of when received, shall not be counted as income but may be considered as an available liquid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income as defined in rule </w:t>
      </w:r>
      <w:hyperlink r:id="rId46">
        <w:r>
          <w:rPr>
            <w:rStyle w:val="Hyperlink"/>
            <w:rFonts w:ascii="Times New Roman" w:hAnsi="Times New Roman"/>
            <w:b w:val="false"/>
            <w:i w:val="false"/>
            <w:color w:val="000000"/>
            <w:sz w:val="22"/>
          </w:rPr>
          <w:t>801—10.20</w:t>
        </w:r>
      </w:hyperlink>
      <w:r>
        <w:rPr>
          <w:rFonts w:ascii="Times New Roman" w:hAnsi="Times New Roman"/>
          <w:b w:val="false"/>
          <w:i w:val="false"/>
          <w:color w:val="000000"/>
          <w:sz w:val="22"/>
        </w:rPr>
        <w:t xml:space="preserve">(35D) that exceeds the member support billing for that month shall thereafter be considered a liquid asset available under rule </w:t>
      </w:r>
      <w:hyperlink r:id="rId47">
        <w:r>
          <w:rPr>
            <w:rStyle w:val="Hyperlink"/>
            <w:rFonts w:ascii="Times New Roman" w:hAnsi="Times New Roman"/>
            <w:b w:val="false"/>
            <w:i w:val="false"/>
            <w:color w:val="000000"/>
            <w:sz w:val="22"/>
          </w:rPr>
          <w:t>801—10.16</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10.20(10)</w:t>
      </w:r>
      <w:r>
        <w:rPr>
          <w:rFonts w:ascii="Times New Roman" w:hAnsi="Times New Roman"/>
          <w:b w:val="false"/>
          <w:i w:val="false"/>
          <w:color w:val="000000"/>
          <w:sz w:val="22"/>
        </w:rPr>
        <w:t> </w:t>
      </w:r>
      <w:r>
        <w:rPr>
          <w:rFonts w:ascii="Times New Roman" w:hAnsi="Times New Roman"/>
          <w:b w:val="false"/>
          <w:i w:val="false"/>
          <w:color w:val="000000"/>
          <w:sz w:val="22"/>
        </w:rPr>
        <w:t>Employment is only allowed as identified in the IVH discharge planning policy (IVH policy #265).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801—10.21</w:t>
      </w:r>
      <w:r>
        <w:rPr>
          <w:rFonts w:ascii="Times New Roman" w:hAnsi="Times New Roman"/>
          <w:b/>
          <w:i w:val="false"/>
          <w:color w:val="000000"/>
          <w:sz w:val="22"/>
        </w:rPr>
        <w:t xml:space="preserve">(35D) </w:t>
      </w:r>
      <w:r>
        <w:rPr>
          <w:rFonts w:ascii="Times New Roman" w:hAnsi="Times New Roman"/>
          <w:b/>
          <w:i w:val="false"/>
          <w:color w:val="000000"/>
          <w:sz w:val="22"/>
        </w:rPr>
        <w:t xml:space="preserve">Fraud. </w:t>
      </w:r>
      <w:r>
        <w:rPr>
          <w:rFonts w:ascii="Times New Roman" w:hAnsi="Times New Roman"/>
          <w:b w:val="false"/>
          <w:i w:val="false"/>
          <w:color w:val="000000"/>
          <w:sz w:val="22"/>
        </w:rPr>
        <w:t>Applicants, members or legal representatives who knowingly conceal the existence of resources may be subject to the billing of full member support, discharge for failure to pay for member’s care or denial of admission. Further, members who knowingly conceal liquid assets or income which would have affected member support shall be charged for the amount not previously billed due to the fraudulent act. If upon admission it is determined that medical or other pertinent information provided during the application process was fraudulent, notice of discharge may be issued. In addition, any applicant, member or legal representative suspected of fraud may be referred to the department of inspections and appeals, division of investigations, for possible criminal or civil action. The attorney general’s office shall conduct the investigation.</w:t>
      </w:r>
    </w:p>
    <w:p>
      <w:pPr>
        <w:spacing w:before="210" w:after="0"/>
        <w:ind w:left="120"/>
        <w:jc w:val="both"/>
      </w:pPr>
      <w:r>
        <w:rPr>
          <w:rFonts w:ascii="Times New Roman" w:hAnsi="Times New Roman"/>
          <w:b/>
          <w:i w:val="false"/>
          <w:color w:val="000000"/>
          <w:sz w:val="22"/>
        </w:rPr>
        <w:t>801—10.22</w:t>
      </w:r>
      <w:r>
        <w:rPr>
          <w:rFonts w:ascii="Times New Roman" w:hAnsi="Times New Roman"/>
          <w:b/>
          <w:i w:val="false"/>
          <w:color w:val="000000"/>
          <w:sz w:val="22"/>
        </w:rPr>
        <w:t xml:space="preserve">(35D) </w:t>
      </w:r>
      <w:r>
        <w:rPr>
          <w:rFonts w:ascii="Times New Roman" w:hAnsi="Times New Roman"/>
          <w:b/>
          <w:i w:val="false"/>
          <w:color w:val="000000"/>
          <w:sz w:val="22"/>
        </w:rPr>
        <w:t xml:space="preserve">Overcharges. </w:t>
      </w:r>
      <w:r>
        <w:rPr>
          <w:rFonts w:ascii="Times New Roman" w:hAnsi="Times New Roman"/>
          <w:b w:val="false"/>
          <w:i w:val="false"/>
          <w:color w:val="000000"/>
          <w:sz w:val="22"/>
        </w:rPr>
        <w:t>When it is discovered that a member was charged for support in excess of the amount actually due, the member shall receive a refund or credit to the member’s account. If the member is discharged or deceased, a refund shall be conveyed to the member or legal representative.</w:t>
      </w:r>
    </w:p>
    <w:p>
      <w:pPr>
        <w:spacing w:before="0" w:after="0"/>
        <w:ind w:left="120"/>
        <w:jc w:val="both"/>
      </w:pPr>
      <w:r>
        <w:rPr>
          <w:rFonts w:ascii="Times New Roman" w:hAnsi="Times New Roman"/>
          <w:b/>
          <w:i w:val="false"/>
          <w:color w:val="000000"/>
          <w:sz w:val="22"/>
        </w:rPr>
        <w:t>801—10.23</w:t>
      </w:r>
      <w:r>
        <w:rPr>
          <w:rFonts w:ascii="Times New Roman" w:hAnsi="Times New Roman"/>
          <w:b/>
          <w:i w:val="false"/>
          <w:color w:val="000000"/>
          <w:sz w:val="22"/>
        </w:rPr>
        <w:t xml:space="preserve">(35D) </w:t>
      </w:r>
      <w:r>
        <w:rPr>
          <w:rFonts w:ascii="Times New Roman" w:hAnsi="Times New Roman"/>
          <w:b/>
          <w:i w:val="false"/>
          <w:color w:val="000000"/>
          <w:sz w:val="22"/>
        </w:rPr>
        <w:t xml:space="preserve">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All members who have resources in excess of the full support rate shall be charged the full support rate. If any member does not apply for all benefits due (such as, but not limited to, Title XIX, DVA pension, DVA compensation, social security, or any combination), fails to report resources accurately in order to not pay full support, or refuses to accept the available billing programs offered at IVH, that member shall be charged up to full support rate as if these responsibilities had been followed. Failure to comply with these rules may result in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required to pay full member support under these rules, the monthly charge shall be calculated as the per diem in paragraph </w:t>
      </w:r>
      <w:hyperlink r:id="rId48">
        <w:r>
          <w:rPr>
            <w:rStyle w:val="Hyperlink"/>
            <w:rFonts w:ascii="Times New Roman" w:hAnsi="Times New Roman"/>
            <w:b w:val="false"/>
            <w:i w:val="false"/>
            <w:color w:val="000000"/>
            <w:sz w:val="22"/>
          </w:rPr>
          <w:t>10.15(1)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10.15(1)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times the billable days less any offsets. The only exception to this monthly charge will be the additional amount of aid and attendance in the DVA retroactive payment for the time period of nursing care at IVH. This amount, in total, shall be due regardless of resources available. If a member is required to pay member support based on additional resources, these figures shall be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801—10.24</w:t>
      </w:r>
      <w:r>
        <w:rPr>
          <w:rFonts w:ascii="Times New Roman" w:hAnsi="Times New Roman"/>
          <w:b w:val="false"/>
          <w:i w:val="false"/>
          <w:color w:val="000000"/>
          <w:sz w:val="22"/>
        </w:rPr>
        <w:t xml:space="preserve"> to </w:t>
      </w:r>
      <w:r>
        <w:rPr>
          <w:rFonts w:ascii="Times New Roman" w:hAnsi="Times New Roman"/>
          <w:b/>
          <w:i w:val="false"/>
          <w:color w:val="000000"/>
          <w:sz w:val="22"/>
        </w:rPr>
        <w:t>10.29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801—10.30</w:t>
      </w:r>
      <w:r>
        <w:rPr>
          <w:rFonts w:ascii="Times New Roman" w:hAnsi="Times New Roman"/>
          <w:b/>
          <w:i w:val="false"/>
          <w:color w:val="000000"/>
          <w:sz w:val="22"/>
        </w:rPr>
        <w:t xml:space="preserve">(35D) </w:t>
      </w:r>
      <w:r>
        <w:rPr>
          <w:rFonts w:ascii="Times New Roman" w:hAnsi="Times New Roman"/>
          <w:b/>
          <w:i w:val="false"/>
          <w:color w:val="000000"/>
          <w:sz w:val="22"/>
        </w:rPr>
        <w:t xml:space="preserve">Incentive therapy and nonprofit rehabilitative programs. </w:t>
      </w:r>
      <w:r>
        <w:rPr>
          <w:rFonts w:ascii="Times New Roman" w:hAnsi="Times New Roman"/>
          <w:b w:val="false"/>
          <w:i w:val="false"/>
          <w:color w:val="000000"/>
          <w:sz w:val="22"/>
        </w:rPr>
        <w:t>Members may be offered the opportunity to perform services for IVH through the incentive therapy program as part of their plan of care. Participating members shall be compensated at the state’s minimum wage for their involvement in the incentive therapy program. If members enrolled in nonprofit rehabilitative programs receive an income from such programs, that income shall be treated in the same manner as the incentive therapy program or IVH policy.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35D.7(3)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801—10.31</w:t>
      </w:r>
      <w:r>
        <w:rPr>
          <w:rFonts w:ascii="Times New Roman" w:hAnsi="Times New Roman"/>
          <w:b w:val="false"/>
          <w:i w:val="false"/>
          <w:color w:val="000000"/>
          <w:sz w:val="22"/>
        </w:rPr>
        <w:t xml:space="preserve"> to </w:t>
      </w:r>
      <w:r>
        <w:rPr>
          <w:rFonts w:ascii="Times New Roman" w:hAnsi="Times New Roman"/>
          <w:b/>
          <w:i w:val="false"/>
          <w:color w:val="000000"/>
          <w:sz w:val="22"/>
        </w:rPr>
        <w:t>10.34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801—10.35</w:t>
      </w:r>
      <w:r>
        <w:rPr>
          <w:rFonts w:ascii="Times New Roman" w:hAnsi="Times New Roman"/>
          <w:b/>
          <w:i w:val="false"/>
          <w:color w:val="000000"/>
          <w:sz w:val="22"/>
        </w:rPr>
        <w:t xml:space="preserve">(35D) </w:t>
      </w:r>
      <w:r>
        <w:rPr>
          <w:rFonts w:ascii="Times New Roman" w:hAnsi="Times New Roman"/>
          <w:b/>
          <w:i w:val="false"/>
          <w:color w:val="000000"/>
          <w:sz w:val="22"/>
        </w:rPr>
        <w:t xml:space="preserve">Handling of pension money and other funds. </w:t>
      </w:r>
      <w:r>
        <w:rPr>
          <w:rFonts w:ascii="Times New Roman" w:hAnsi="Times New Roman"/>
          <w:b w:val="false"/>
          <w:i w:val="false"/>
          <w:color w:val="000000"/>
          <w:sz w:val="22"/>
        </w:rPr>
        <w:t>Each member who has not been assigned a guardian, conservator, fiduciary or representative payee or has not designated a power of attorney while having adequate decision-making capacity or as otherwise specified may manage that member’s own personal financial affairs. Upon the receipt of written authorization from the member or legal representative by the commandant or designee, the commandant or designee may assist the member in the management of the member’s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Pension money or other funds deposited with IVH are not assignable except as specified at subrule </w:t>
      </w:r>
      <w:hyperlink r:id="rId51">
        <w:r>
          <w:rPr>
            <w:rStyle w:val="Hyperlink"/>
            <w:rFonts w:ascii="Times New Roman" w:hAnsi="Times New Roman"/>
            <w:b w:val="false"/>
            <w:i w:val="false"/>
            <w:color w:val="000000"/>
            <w:sz w:val="22"/>
          </w:rPr>
          <w:t>10.19(3)</w:t>
        </w:r>
      </w:hyperlink>
      <w:r>
        <w:rPr>
          <w:rFonts w:ascii="Times New Roman" w:hAnsi="Times New Roman"/>
          <w:b w:val="false"/>
          <w:i w:val="false"/>
          <w:color w:val="000000"/>
          <w:sz w:val="22"/>
        </w:rPr>
        <w:t xml:space="preserve"> or </w:t>
      </w:r>
      <w:hyperlink r:id="rId52">
        <w:r>
          <w:rPr>
            <w:rStyle w:val="Hyperlink"/>
            <w:rFonts w:ascii="Times New Roman" w:hAnsi="Times New Roman"/>
            <w:b w:val="false"/>
            <w:i w:val="false"/>
            <w:color w:val="000000"/>
            <w:sz w:val="22"/>
          </w:rPr>
          <w:t>10.40(2)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 xml:space="preserve">If authorized by a member, the commandant or designee may act on behalf of that member in receiving, disbursing, and accounting for personal funds of the member received from any source subject to the requirements of Iowa Code section </w:t>
      </w:r>
      <w:hyperlink r:id="rId53">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IVH shall maintain a commercial account with a federally insured bank for the personal deposits of its members. The account shall be known as the IVH membership account/rep payee for social security/VA beneficiaries. The commandant or designee shall record each member’s personal deposits individually and shall deposit the funds in the membership account where the members’ deposits shall be held in the aggregate. Interest shall accrue on those accounts that are on deposit the last working Friday of each month. IVH may withdraw moneys from the account maintained pursuant to this subrule to establish certificates of deposit for the benefit of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10.35(4)</w:t>
      </w:r>
      <w:r>
        <w:rPr>
          <w:rFonts w:ascii="Times New Roman" w:hAnsi="Times New Roman"/>
          <w:b w:val="false"/>
          <w:i w:val="false"/>
          <w:color w:val="000000"/>
          <w:sz w:val="22"/>
        </w:rPr>
        <w:t> </w:t>
      </w:r>
      <w:r>
        <w:rPr>
          <w:rFonts w:ascii="Times New Roman" w:hAnsi="Times New Roman"/>
          <w:b w:val="false"/>
          <w:i w:val="false"/>
          <w:color w:val="000000"/>
          <w:sz w:val="22"/>
        </w:rPr>
        <w:t>If authorized in writing by the member or legal representative, the commandant or designee may make withdrawals against that member’s personal account to pay regular bills and other expenses incurred by the member.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maintain a written record of each member’s funds which are received by or deposited with IVH. The member or legal representative shall receive a monthly statement showing deposits, withdrawals, disbursements, interest and current balances. If the commandant or designee is made representative payee or fiduciary for the member’s financial transactions, this statement shall be maintained in the member’s administrative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10.35(6)</w:t>
      </w:r>
      <w:r>
        <w:rPr>
          <w:rFonts w:ascii="Times New Roman" w:hAnsi="Times New Roman"/>
          <w:b w:val="false"/>
          <w:i w:val="false"/>
          <w:color w:val="000000"/>
          <w:sz w:val="22"/>
        </w:rPr>
        <w:t> </w:t>
      </w:r>
      <w:r>
        <w:rPr>
          <w:rFonts w:ascii="Times New Roman" w:hAnsi="Times New Roman"/>
          <w:b w:val="false"/>
          <w:i w:val="false"/>
          <w:color w:val="000000"/>
          <w:sz w:val="22"/>
        </w:rPr>
        <w:t>Except as otherwise specified and unless the commandant or designee has been appointed representative payee or fiduciary, funds deposited with IVH shall be released to the member or legal representative upon request. A statement will be provided showing deposits, disbursements, interest, and the final balance at the time the funds are withdrawn. When the member continues to maintain residency at IVH, the funds shall be released and a statement provided within three working days following the request. When a member is being discharged from IVH, the funds shall be released and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with IVH, and upon receipt of documentation of an outstanding balance, IVH will promptly convey the member’s funds to the funeral home or to the individual paying the last funeral expenses. If no bill is presented for funeral expenses, IVH will collect any balance owing for the resident’s final support bill, which may include debts owed to the IVH arts and crafts and ceramics program. IVH will notify promptly the estate recovery program of the death of any IVH resident. Upon IVH’s receipt of notification from the estate recovery program, any funds remaining in the deceased resident’s membership account will be disbursed according to the deceased resident’s directions. If probate papers are produced, a final accounting of those funds must also be provided to the individual administering the member’s estate along with a disbursement of any remaining funds. If the value of the member’s estate is so small as to make the granting of administration inadvisable, IVH must hold, then deliver all money plus interest within one year to the proper heirs equally or adhere to the member’s request in the member’s last will and testament.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w:t>
      </w:r>
      <w:r>
        <w:rPr>
          <w:rFonts w:ascii="Times New Roman" w:hAnsi="Times New Roman"/>
          <w:b w:val="false"/>
          <w:i w:val="false"/>
          <w:color w:val="000000"/>
          <w:sz w:val="22"/>
        </w:rPr>
        <w:t> </w:t>
      </w:r>
      <w:r>
        <w:rPr>
          <w:rFonts w:ascii="Times New Roman" w:hAnsi="Times New Roman"/>
          <w:b w:val="false"/>
          <w:i w:val="false"/>
          <w:color w:val="000000"/>
          <w:sz w:val="22"/>
        </w:rPr>
        <w:t>A member discharged while on leave from IVH shall have the member’s account closed by the tenth day of the month following discharge.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35D.11(2)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35D.12(2)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801—10.36</w:t>
      </w:r>
      <w:r>
        <w:rPr>
          <w:rFonts w:ascii="Times New Roman" w:hAnsi="Times New Roman"/>
          <w:b/>
          <w:i w:val="false"/>
          <w:color w:val="000000"/>
          <w:sz w:val="22"/>
        </w:rPr>
        <w:t xml:space="preserve">(35D) </w:t>
      </w:r>
      <w:r>
        <w:rPr>
          <w:rFonts w:ascii="Times New Roman" w:hAnsi="Times New Roman"/>
          <w:b/>
          <w:i w:val="false"/>
          <w:color w:val="000000"/>
          <w:sz w:val="22"/>
        </w:rPr>
        <w:t xml:space="preserve">Leave, bed holds and 96-hour passes.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Non-Title XIX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Leaves are required if the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leaves other than free time shall require payment of member support charges as though the member were in residency. Failure to pay regular member support charges may result in discharge of the member. Leave length may be changed by notification from the member or legal representative to the nursing unit social worker or domiciliary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leaves. Leaves spent in approved medical facilities away from IVH shall not be counted against the 59-day leave time limit as set out in paragraph </w:t>
      </w:r>
      <w:hyperlink r:id="rId56">
        <w:r>
          <w:rPr>
            <w:rStyle w:val="Hyperlink"/>
            <w:rFonts w:ascii="Times New Roman" w:hAnsi="Times New Roman"/>
            <w:b w:val="false"/>
            <w:i w:val="false"/>
            <w:color w:val="000000"/>
            <w:sz w:val="22"/>
          </w:rPr>
          <w:t>10.14(3)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Hospital leaves shall be granted and the charges for such leaves shall be as follows: During the first ten consecutive days of any hospital stay, the member shall pay the regular and usual assessed charge for the member’s level of care. After the tenth day, if a mutual agreement is made between the resident or legal representative and the commandant or designee for the member’s bed to be held for additional days, the member shall not be charged. Each monthly member support bill shall reflect any adjustments related to hospitalization.</w:t>
      </w:r>
    </w:p>
    <w:p>
      <w:pPr>
        <w:spacing w:before="0" w:after="0"/>
        <w:ind w:left="120"/>
        <w:jc w:val="both"/>
      </w:pPr>
      <w:r>
        <w:rPr>
          <w:rFonts w:ascii="Times New Roman" w:hAnsi="Times New Roman"/>
          <w:b w:val="false"/>
          <w:i w:val="false"/>
          <w:color w:val="000000"/>
          <w:sz w:val="22"/>
        </w:rPr>
        <w:t>Leaves to other medical facilities for the purpose of treatment shall be treated as hospital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days of leave time each calendar year shall be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usual support charge for leave time over 12 days up to and including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full support rate for the level of care in which the member resides for leave time over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Leave time is not cumulative from one calendar year to another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Leave time the member has not utilized or cannot utilize shall not be credited toward the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charges for the member on leave who wishes to retain the member’s room or bed shall be due and payable as though the member were in residency as set forth in paragraph </w:t>
      </w:r>
      <w:hyperlink r:id="rId57">
        <w:r>
          <w:rPr>
            <w:rStyle w:val="Hyperlink"/>
            <w:rFonts w:ascii="Times New Roman" w:hAnsi="Times New Roman"/>
            <w:b w:val="false"/>
            <w:i w:val="false"/>
            <w:color w:val="000000"/>
            <w:sz w:val="22"/>
          </w:rPr>
          <w:t>10.36(1)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nursing care member is on leave, the member shall remain on in-house status for the first 12 leave days per calendar year for DVA per diem purposes and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member has used 12 non-hospital leave days, IVH is not financially responsible for any medical charges for the member while on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Members who are receiving Title XIX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leave as set out in paragraph </w:t>
      </w:r>
      <w:hyperlink r:id="rId58">
        <w:r>
          <w:rPr>
            <w:rStyle w:val="Hyperlink"/>
            <w:rFonts w:ascii="Times New Roman" w:hAnsi="Times New Roman"/>
            <w:b w:val="false"/>
            <w:i w:val="false"/>
            <w:color w:val="000000"/>
            <w:sz w:val="22"/>
          </w:rPr>
          <w:t>10.36(1)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required if a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member’s bed shall be held while the member is visiting away from IVH for a period not to exceed 18 days in any calendar year. There is no restriction as to the amount of days taken in any one month or during any one visit, as long as the days taken in the calendar year do not exceed 18. Additional days shall be allowed if the member’s medical provider recommends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a legal representative who wishes to exceed the 18 visitation days and retain the member’s bed, but does not have medical provider recommendation for an extension, must make arrangements with the operations division administrator or designee for payment of the rate determined by the department of human services income maintenance worker for all days in excess of the 18 visitation days. If prior arrangements and payment are not made, a member may be discharged in accordance with subrule </w:t>
      </w:r>
      <w:hyperlink r:id="rId59">
        <w:r>
          <w:rPr>
            <w:rStyle w:val="Hyperlink"/>
            <w:rFonts w:ascii="Times New Roman" w:hAnsi="Times New Roman"/>
            <w:b w:val="false"/>
            <w:i w:val="false"/>
            <w:color w:val="000000"/>
            <w:sz w:val="22"/>
          </w:rPr>
          <w:t>10.12(2)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bed shall be held for a hospitalized member for up to ten consecutive days. After ten days, IVH assumes the authority to discharge the resident, but reserves the right to negotiate an extension to the bed hold, if warranted, in the best interest of the resident and the facility, at the discretion of the commandant or designee. The member’s client participation shall be paid according to the department of human services’ income maintenance worker for all hospitalized days until member returns or is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IVH is not financially responsible for any medical charges for the member when visiting away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Ninety-six-hour passes for domiciliary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 shall not exceed 96 hours. If a member expects to be gone for more than 96 hours, a leave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return from a pass, the member must remain in residence 24 hours before another pass can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member is on pass, the member shall remain on in-house status for DVA per diem purposes;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801—10.37</w:t>
      </w:r>
      <w:r>
        <w:rPr>
          <w:rFonts w:ascii="Times New Roman" w:hAnsi="Times New Roman"/>
          <w:b/>
          <w:i w:val="false"/>
          <w:color w:val="000000"/>
          <w:sz w:val="22"/>
        </w:rPr>
        <w:t xml:space="preserve">(35D) </w:t>
      </w:r>
      <w:r>
        <w:rPr>
          <w:rFonts w:ascii="Times New Roman" w:hAnsi="Times New Roman"/>
          <w:b/>
          <w:i w:val="false"/>
          <w:color w:val="000000"/>
          <w:sz w:val="22"/>
        </w:rPr>
        <w:t xml:space="preserve">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afforded a choice in the methods of handling the member’s business mail and in meeting the member’s responsibilities for reporting resources for the purpose of computation of member support. A member found to have inadequate financial decision making shall have that member’s business mail handled in a manner as to respect that member’s dignity and still meet the needs of IVH for complete information regarding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allowed to handle that member’s business mail to the degree of responsibility chosen by the member or legal representative. A member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 to receive all business mail personally and provide the resident finance office with financial documentation,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that the member shall receive personal mail items, but business mail received at IVH from entitlement sources or concerning assets shall be routed to the resident finance office, cashier’s office or purchasing office, whichever is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801—10.38</w:t>
      </w:r>
      <w:r>
        <w:rPr>
          <w:rFonts w:ascii="Times New Roman" w:hAnsi="Times New Roman"/>
          <w:b w:val="false"/>
          <w:i w:val="false"/>
          <w:color w:val="000000"/>
          <w:sz w:val="22"/>
        </w:rPr>
        <w:t xml:space="preserve"> and </w:t>
      </w:r>
      <w:r>
        <w:rPr>
          <w:rFonts w:ascii="Times New Roman" w:hAnsi="Times New Roman"/>
          <w:b/>
          <w:i w:val="false"/>
          <w:color w:val="000000"/>
          <w:sz w:val="22"/>
        </w:rPr>
        <w:t>10.39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801—10.40</w:t>
      </w:r>
      <w:r>
        <w:rPr>
          <w:rFonts w:ascii="Times New Roman" w:hAnsi="Times New Roman"/>
          <w:b/>
          <w:i w:val="false"/>
          <w:color w:val="000000"/>
          <w:sz w:val="22"/>
        </w:rPr>
        <w:t xml:space="preserve">(35D) </w:t>
      </w:r>
      <w:r>
        <w:rPr>
          <w:rFonts w:ascii="Times New Roman" w:hAnsi="Times New Roman"/>
          <w:b/>
          <w:i w:val="false"/>
          <w:color w:val="000000"/>
          <w:sz w:val="22"/>
        </w:rPr>
        <w:t xml:space="preserve">Requirements for member conduct. </w:t>
      </w:r>
      <w:r>
        <w:rPr>
          <w:rFonts w:ascii="Times New Roman" w:hAnsi="Times New Roman"/>
          <w:b w:val="false"/>
          <w:i w:val="false"/>
          <w:color w:val="000000"/>
          <w:sz w:val="22"/>
        </w:rPr>
        <w:t xml:space="preserve">The commandant or designee shall administer and enforce all requirements for member conduct. Subject to these rules and Iowa Code section </w:t>
      </w:r>
      <w:hyperlink r:id="rId60">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the commandant or designee may transfer or discharge any member from IVH when the commandant or designee determines that the health, safety or welfare of the members or staff is in immediate danger, and other reasonable alternatives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member responsibilities as set out in rule </w:t>
      </w:r>
      <w:hyperlink r:id="rId61">
        <w:r>
          <w:rPr>
            <w:rStyle w:val="Hyperlink"/>
            <w:rFonts w:ascii="Times New Roman" w:hAnsi="Times New Roman"/>
            <w:b w:val="false"/>
            <w:i w:val="false"/>
            <w:color w:val="000000"/>
            <w:sz w:val="22"/>
          </w:rPr>
          <w:t>801—10.12</w:t>
        </w:r>
      </w:hyperlink>
      <w:r>
        <w:rPr>
          <w:rFonts w:ascii="Times New Roman" w:hAnsi="Times New Roman"/>
          <w:b w:val="false"/>
          <w:i w:val="false"/>
          <w:color w:val="000000"/>
          <w:sz w:val="22"/>
        </w:rPr>
        <w:t>(35D), each member shall also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intoxicants or alcoholic beverages on IVH premises is prohibited unless prescribed by a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bringing of alcoholic beverages or illicit substances on IVH premises is prohibited. Any illicit substances or drug paraphernalia or both found in the member’s possession shall be grounds for immediate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illegal substances while a member of IVH is prohibited. A urinalysis shall confirm the presence of illegal substances. A member’s refusal to submit to a urinalysis in response to a request based on probable cause shall be considered a positive result and is grounds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or weapons of any nature shall be turned in to the commandant or designee for safekeeping. The commandant or designee shall decide if an instrument is a weapon. Firearms or weapons in the possession of a member which constitute a hazard to self or others shall be removed and stored in a place provided and controlled by the facility or sent with family members for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Smoking in members’ rooms is prohibited. Members who smoke shall do so within designated smoking areas so as not to endanger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Continuously disruptive behavior on the part of a member is grounds for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Members shall comply with legal requests and orders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shall not violate state and federal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Members shall report to the resident finance supervisor or designee any changes in assets/income, and pay support within ten business days after the monthly support bill is received or ten business days after the member’s last income deposit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is found in violation of the requirements of conduct established in subrule </w:t>
      </w:r>
      <w:hyperlink r:id="rId62">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 the following steps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first offense, a member is counseled by an appropriate staff person and options for correcting the behavior are considered. Options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IVH control of the member’s personal funds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pension money and other incomes and available liquid assets shall be deposited by the commandant or designee in a separate account for and on behalf of the member. The commandant or designee shall, under the procedures established in subrules </w:t>
      </w:r>
      <w:hyperlink r:id="rId63">
        <w:r>
          <w:rPr>
            <w:rStyle w:val="Hyperlink"/>
            <w:rFonts w:ascii="Times New Roman" w:hAnsi="Times New Roman"/>
            <w:b w:val="false"/>
            <w:i w:val="false"/>
            <w:color w:val="000000"/>
            <w:sz w:val="22"/>
          </w:rPr>
          <w:t>10.35(3)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10.35(4)</w:t>
        </w:r>
      </w:hyperlink>
      <w:r>
        <w:rPr>
          <w:rFonts w:ascii="Times New Roman" w:hAnsi="Times New Roman"/>
          <w:b w:val="false"/>
          <w:i w:val="false"/>
          <w:color w:val="000000"/>
          <w:sz w:val="22"/>
        </w:rPr>
        <w:t>, make withdrawals and disbursements to meet the regular bills and other expenses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after a period of up to six months, the member’s behavior is deemed appropriate by the facility, the handling of funds will be reviewed, and funds may be returned to the control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IVH, the balance of the funds in the IVH membership account shall be paid to the member or financial legal representative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second offense, a member is offered the services above and is placed on probation that warns a third offense may lead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third offense, discharge from IVH in accordance with subrule </w:t>
      </w:r>
      <w:hyperlink r:id="rId65">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described in subrule </w:t>
      </w:r>
      <w:hyperlink r:id="rId66">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shall generally be followed in that order. However, if the member’s violation is of an extreme nature and the member is not amenable to counseling, the commandant or designee shall choose to discharge the member after the expiration of a 30-day written notification period which begins when the notice is personally delivered. If the RCC, in conjunction with the medical provider and mental health personnel, deems that the member’s behavior poses a threat of imminent danger, the commandant or designee may issue notice of an immediate involuntary discharge. In such an emergency situation, a written notice shall be given prior to or within 48 hours following the discharge.</w:t>
      </w:r>
    </w:p>
    <w:p>
      <w:pPr>
        <w:spacing w:before="0" w:after="0"/>
        <w:ind w:left="120"/>
        <w:jc w:val="both"/>
      </w:pPr>
      <w:r>
        <w:rPr>
          <w:rFonts w:ascii="Times New Roman" w:hAnsi="Times New Roman"/>
          <w:b w:val="false"/>
          <w:i w:val="false"/>
          <w:color w:val="000000"/>
          <w:sz w:val="22"/>
        </w:rPr>
        <w:t>The member’s county commission of veterans affairs and the legal representative shall be informed in writing of the decision to discharge. Written notification shall also be issued to appropriate governmental agencies including the commission, the department of inspections and appeals, and the department on aging’s long-term care ombudsman to ensure that the member’s health, safety or welfare shall not be in danger upon the member’s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 has been previously discharged under the provisions of subrule </w:t>
      </w:r>
      <w:hyperlink r:id="rId67">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 xml:space="preserve"> shall be readmitted to IVH only upon the approval of the commandant or designee. If not approved, the applicant shall receive written notice of the denial. A copy of the denial notice shall be forwarded to the commission and the appropriate county commission of veterans affairs. Any decision to deny readmittance is subject to the review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801—10.41</w:t>
      </w:r>
      <w:r>
        <w:rPr>
          <w:rFonts w:ascii="Times New Roman" w:hAnsi="Times New Roman"/>
          <w:b/>
          <w:i w:val="false"/>
          <w:color w:val="000000"/>
          <w:sz w:val="22"/>
        </w:rPr>
        <w:t xml:space="preserve">(35D) </w:t>
      </w:r>
      <w:r>
        <w:rPr>
          <w:rFonts w:ascii="Times New Roman" w:hAnsi="Times New Roman"/>
          <w:b/>
          <w:i w:val="false"/>
          <w:color w:val="000000"/>
          <w:sz w:val="22"/>
        </w:rPr>
        <w:t xml:space="preserve">County of residence upon discharge. </w:t>
      </w:r>
      <w:r>
        <w:rPr>
          <w:rFonts w:ascii="Times New Roman" w:hAnsi="Times New Roman"/>
          <w:b w:val="false"/>
          <w:i w:val="false"/>
          <w:color w:val="000000"/>
          <w:sz w:val="22"/>
        </w:rPr>
        <w:t xml:space="preserve">A member does not acquire residency in Marshall County, the county in which IVH is located, unless the member is voluntarily or involuntarily discharged from IVH and the member meets county of residence requirements. For purposes of this rule, “county of residence” means the same as defined in Iowa Code section </w:t>
      </w:r>
      <w:hyperlink r:id="rId69">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4587C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801—10.42</w:t>
      </w:r>
      <w:r>
        <w:rPr>
          <w:rFonts w:ascii="Times New Roman" w:hAnsi="Times New Roman"/>
          <w:b/>
          <w:i w:val="false"/>
          <w:color w:val="000000"/>
          <w:sz w:val="22"/>
        </w:rPr>
        <w:t xml:space="preserve">(35D) </w:t>
      </w:r>
      <w:r>
        <w:rPr>
          <w:rFonts w:ascii="Times New Roman" w:hAnsi="Times New Roman"/>
          <w:b/>
          <w:i w:val="false"/>
          <w:color w:val="000000"/>
          <w:sz w:val="22"/>
        </w:rPr>
        <w:t xml:space="preserve">Disposition of personal property and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A discharged member shall remove all personal property at the time of discharge or within 30 days. Personal property not removed within 30 days after discharge shall become the property of IVH to dispose of as the commandant or designee directs. Personal property may be forwarded at the member’s expense to the member’s last-known address. When the member is discharged from IVH, the member’s funds shall be released to the member or legal representative with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val="false"/>
          <w:color w:val="000000"/>
          <w:sz w:val="22"/>
        </w:rPr>
        <w:t>Following written notification to the legal representative or first next of kin, a deceased member’s personal property remaining at IVH 30 days after written notification shall become the property of IVH to dispose of as the commandant or designee directs. If there is a known legal representative or first next of kin, the property may be shipped to the legal representative or first next of kin at the expense of the estate, legal representative, or first next of 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at IVH, after the final bill and any outstanding funeral expenses have been paid, and after receipt of notification from the estate recovery program (for those on Title XIX) that release of funds is approved, IVH shall convey the member’s funds along with a final statement to the legal representative administering the member’s estate. When an estate is not opened or in cases where no executor is appointed, IVH shall attempt to locate the deceased member’s heirs and deliver the funds to the heirs equally or according to the terms of the last will and testament within one year after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801—10.43</w:t>
      </w:r>
      <w:r>
        <w:rPr>
          <w:rFonts w:ascii="Times New Roman" w:hAnsi="Times New Roman"/>
          <w:b/>
          <w:i w:val="false"/>
          <w:color w:val="000000"/>
          <w:sz w:val="22"/>
        </w:rPr>
        <w:t xml:space="preserve">(35D) </w:t>
      </w:r>
      <w:r>
        <w:rPr>
          <w:rFonts w:ascii="Times New Roman" w:hAnsi="Times New Roman"/>
          <w:b/>
          <w:i w:val="false"/>
          <w:color w:val="000000"/>
          <w:sz w:val="22"/>
        </w:rPr>
        <w:t xml:space="preserve">Rule enforcement—power to suspend and discharge members. </w:t>
      </w:r>
      <w:r>
        <w:rPr>
          <w:rFonts w:ascii="Times New Roman" w:hAnsi="Times New Roman"/>
          <w:b w:val="false"/>
          <w:i w:val="false"/>
          <w:color w:val="000000"/>
          <w:sz w:val="22"/>
        </w:rPr>
        <w:t xml:space="preserve">The commandant or designee shall administer and enforce all rules adopted by the commission, including rules of discipline and, subject to these rules, may immediately suspend the membership of and discharge any member from IVH for infraction of the rules when the commandant or designee determines that the health, safety or welfare of the members of IVH is in immediate danger and other reasonable alternatives have been exhausted. The suspension and discharge are temporary pending action by the commission. Judicial review of the action of the commission may be sought in accordance with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with the input and recommendation of the RCC, involuntarily discharge a member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has been diagnosed with a substance use disorder but continues to abuse alcohol or an illegal drug in violation of the member’s conditional or provisional agreement entered into at the time of admission or at any time thereafter,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been provided sufficient notice of any changes in the member’s collaborative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has been given the opportunity to correct the behavior through either of the following options: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Being given the opportunity to receive the appropriate level of treatment in accordance with best practices for standards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having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71">
        <w:r>
          <w:rPr>
            <w:rStyle w:val="Hyperlink"/>
            <w:rFonts w:ascii="Times New Roman" w:hAnsi="Times New Roman"/>
            <w:b w:val="false"/>
            <w:i w:val="false"/>
            <w:color w:val="000000"/>
            <w:sz w:val="22"/>
          </w:rPr>
          <w:t>10.43(1)</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under paragraph </w:t>
      </w:r>
      <w:hyperlink r:id="rId72">
        <w:r>
          <w:rPr>
            <w:rStyle w:val="Hyperlink"/>
            <w:rFonts w:ascii="Times New Roman" w:hAnsi="Times New Roman"/>
            <w:b w:val="false"/>
            <w:i w:val="false"/>
            <w:color w:val="000000"/>
            <w:sz w:val="22"/>
          </w:rPr>
          <w:t>10.43(1)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refuses to utilize the resources available to address issues identified in the member’s collaborative care plan,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been provided sufficient notice of any changes in the member’s collaborative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the member has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73">
        <w:r>
          <w:rPr>
            <w:rStyle w:val="Hyperlink"/>
            <w:rFonts w:ascii="Times New Roman" w:hAnsi="Times New Roman"/>
            <w:b w:val="false"/>
            <w:i w:val="false"/>
            <w:color w:val="000000"/>
            <w:sz w:val="22"/>
          </w:rPr>
          <w:t>10.43(1)</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no longer meets the requirements for residential or nursing level of care, as determined by the RCC or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requires a level of licensed care not provided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Provisions for member following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is discharged under this rule, the discharge plan shall include placement in a suitable living situation which may include but is not limited to a transitional living program approved by the commission or a living program provided by DVA.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is involuntarily discharged under this rule, the commission shall, to the greatest extent possible, ensure against the member being homeless and ensure that the domicile to which the member is discharged is fit and habitable and offers a safe and clean environment which is free from health hazards and provides appropriate heating, ventilation and protection from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10.43(3)</w:t>
      </w:r>
      <w:r>
        <w:rPr>
          <w:rFonts w:ascii="Times New Roman" w:hAnsi="Times New Roman"/>
          <w:b w:val="false"/>
          <w:i w:val="false"/>
          <w:color w:val="000000"/>
          <w:sz w:val="22"/>
        </w:rPr>
        <w:t> </w:t>
      </w:r>
      <w:r>
        <w:rPr>
          <w:rFonts w:ascii="Times New Roman" w:hAnsi="Times New Roman"/>
          <w:b w:val="false"/>
          <w:i w:val="false"/>
          <w:color w:val="000000"/>
          <w:sz w:val="22"/>
        </w:rPr>
        <w:t>Discharge notice, including right to appeal. An involuntary discharge of a member under this rule shall be preceded by a written notice to the member. The notice shall state that, unless the discharge is an immediate discharge due to the member’s actions or behavior which jeopardizes the life or safety of other members or staff, the effective date of the discharge is 30 calendar days from the date of receipt of the discharge notice, and that the member has the right to appeal the discharge. In addition, the discharge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effective date of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which reads: “You have a right to appeal the facility’s decision to transfer or discharge you. If you think you should not have to leave this facility, you may request a hearing in writing or verbally with the Commission of Veterans Affairs (hereinafter referred to as “Commission”) within five (5) calendar days after receiving this notice. You have a right to be represented at the hearing by an attorney or any other individual of your choice at your own expense. If you request a hearing, it will be held, and a decision rendered within ten (10) calendar days of the filing of the appeal. Provision may be made for extension of the ten (10) day requirement upon request to the Commission designee. If you lose the hearing, you will not be discharged or transferred before the expiration of 30 days following receipt of the original notice of the discharge or transfer, or no sooner than five (5) days following final decision of such hearing. To request a hearing or receive further information, call the Commission or write to the Commission to the attention of: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10.43(4)</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discharge. In the case of an emergency transfer or discharge relating to a threat of imminent harm, the resident must still be given a written notice prior to or within 48 hours following transfer or discharge. A copy of this notice must be placed in the resident’s file, and it must contain all the information required by </w:t>
      </w:r>
      <w:hyperlink r:id="rId74">
        <w:r>
          <w:rPr>
            <w:rStyle w:val="Hyperlink"/>
            <w:rFonts w:ascii="Times New Roman" w:hAnsi="Times New Roman"/>
            <w:b w:val="false"/>
            <w:i w:val="false"/>
            <w:color w:val="000000"/>
            <w:sz w:val="22"/>
          </w:rPr>
          <w:t>10.43(3)</w:t>
        </w:r>
      </w:hyperlink>
      <w:r>
        <w:rPr>
          <w:rFonts w:ascii="Times New Roman" w:hAnsi="Times New Roman"/>
          <w:b w:val="false"/>
          <w:i w:val="false"/>
          <w:color w:val="000000"/>
          <w:sz w:val="22"/>
        </w:rPr>
        <w:t>. In addition, the notice must contain a statement in not less than 12-point type (elite), which reads: “You have a right to appeal the facility’s decision to transfer or discharge you on an emergency basis. If you think you should not have to leave this facility, you may request a hearing in writing or verbally with the Commission of Veterans Affairs (hereinafter referred to as ‘Commission’) within 5 calendar days after receiving this notice. If you request a hearing, it will be held and a decision rendered within 10 calendar days of the filing of the appeal no later than 14 days after receipt of your request by the Commission. You may be transferred or discharged before the hearing is held or before a final decision is rendered. If you win the hearing, you have the right to be transferred back into the facility. To request a hearing or receive further information, you may call the Commission or write to the Commission to the attention of: 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10.43(5)</w:t>
      </w:r>
      <w:r>
        <w:rPr>
          <w:rFonts w:ascii="Times New Roman" w:hAnsi="Times New Roman"/>
          <w:b w:val="false"/>
          <w:i w:val="false"/>
          <w:color w:val="000000"/>
          <w:sz w:val="22"/>
        </w:rPr>
        <w:t> </w:t>
      </w:r>
      <w:r>
        <w:rPr>
          <w:rFonts w:ascii="Times New Roman" w:hAnsi="Times New Roman"/>
          <w:b w:val="false"/>
          <w:i w:val="false"/>
          <w:color w:val="000000"/>
          <w:sz w:val="22"/>
        </w:rPr>
        <w:t>Appeal by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member shall be provided with the information relating to the appeals process as specified in rule </w:t>
      </w:r>
      <w:hyperlink r:id="rId75">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involuntary discharge appeal process in rule </w:t>
      </w:r>
      <w:hyperlink r:id="rId76">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10.43(6)</w:t>
      </w:r>
      <w:r>
        <w:rPr>
          <w:rFonts w:ascii="Times New Roman" w:hAnsi="Times New Roman"/>
          <w:b w:val="false"/>
          <w:i w:val="false"/>
          <w:color w:val="000000"/>
          <w:sz w:val="22"/>
        </w:rPr>
        <w:t> </w:t>
      </w:r>
      <w:r>
        <w:rPr>
          <w:rFonts w:ascii="Times New Roman" w:hAnsi="Times New Roman"/>
          <w:b w:val="false"/>
          <w:i w:val="false"/>
          <w:color w:val="000000"/>
          <w:sz w:val="22"/>
        </w:rPr>
        <w:t>By the fourth Monday of each session of the Iowa general assembly, the commandant shall submit a report annually to the senate veterans affairs committee and the house veterans affairs committee specifying the number, circumstances and placement of each member involuntarily discharged from IVH under this rule during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involuntary discharge by the commandant or designee under this rule shall comply with the rules adopted by the commission and by the department of inspections and appeals in accordance with Iowa Code section </w:t>
      </w:r>
      <w:hyperlink r:id="rId77">
        <w:r>
          <w:rPr>
            <w:rStyle w:val="Hyperlink"/>
            <w:rFonts w:ascii="Times New Roman" w:hAnsi="Times New Roman"/>
            <w:b w:val="false"/>
            <w:i w:val="false"/>
            <w:color w:val="000000"/>
            <w:sz w:val="22"/>
          </w:rPr>
          <w:t>35D.15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801—10.44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APPEAL PROCESS</w:t>
      </w:r>
    </w:p>
    <w:p>
      <w:pPr>
        <w:spacing w:before="0" w:after="0"/>
        <w:ind w:left="120"/>
        <w:jc w:val="both"/>
      </w:pPr>
      <w:r>
        <w:rPr>
          <w:rFonts w:ascii="Times New Roman" w:hAnsi="Times New Roman"/>
          <w:b/>
          <w:i w:val="false"/>
          <w:color w:val="000000"/>
          <w:sz w:val="22"/>
        </w:rPr>
        <w:t>801—10.45</w:t>
      </w:r>
      <w:r>
        <w:rPr>
          <w:rFonts w:ascii="Times New Roman" w:hAnsi="Times New Roman"/>
          <w:b/>
          <w:i w:val="false"/>
          <w:color w:val="000000"/>
          <w:sz w:val="22"/>
        </w:rPr>
        <w:t xml:space="preserve">(35A,35D) </w:t>
      </w:r>
      <w:r>
        <w:rPr>
          <w:rFonts w:ascii="Times New Roman" w:hAnsi="Times New Roman"/>
          <w:b/>
          <w:i w:val="false"/>
          <w:color w:val="000000"/>
          <w:sz w:val="22"/>
        </w:rPr>
        <w:t xml:space="preserve">Applicant appeal process. </w:t>
      </w:r>
      <w:r>
        <w:rPr>
          <w:rFonts w:ascii="Times New Roman" w:hAnsi="Times New Roman"/>
          <w:b w:val="false"/>
          <w:i w:val="false"/>
          <w:color w:val="000000"/>
          <w:sz w:val="22"/>
        </w:rPr>
        <w:t xml:space="preserve">An applicant who believes that any of the provisions of this chapter have not been upheld, or have been upheld unfairly, may file an appeal directly with the commandant or designee containing a statement of the grievance and requested action. The commandant or designee shall investigate and may hold an informal hearing with the applicant and other involved individuals. Subrules </w:t>
      </w:r>
      <w:hyperlink r:id="rId78">
        <w:r>
          <w:rPr>
            <w:rStyle w:val="Hyperlink"/>
            <w:rFonts w:ascii="Times New Roman" w:hAnsi="Times New Roman"/>
            <w:b w:val="false"/>
            <w:i w:val="false"/>
            <w:color w:val="000000"/>
            <w:sz w:val="22"/>
          </w:rPr>
          <w:t>10.46(4)</w:t>
        </w:r>
      </w:hyperlink>
      <w:r>
        <w:rPr>
          <w:rFonts w:ascii="Times New Roman" w:hAnsi="Times New Roman"/>
          <w:b w:val="false"/>
          <w:i w:val="false"/>
          <w:color w:val="000000"/>
          <w:sz w:val="22"/>
        </w:rPr>
        <w:t xml:space="preserve"> to </w:t>
      </w:r>
      <w:hyperlink r:id="rId79">
        <w:r>
          <w:rPr>
            <w:rStyle w:val="Hyperlink"/>
            <w:rFonts w:ascii="Times New Roman" w:hAnsi="Times New Roman"/>
            <w:b w:val="false"/>
            <w:i w:val="false"/>
            <w:color w:val="000000"/>
            <w:sz w:val="22"/>
          </w:rPr>
          <w:t>10.46(8)</w:t>
        </w:r>
      </w:hyperlink>
      <w:r>
        <w:rPr>
          <w:rFonts w:ascii="Times New Roman" w:hAnsi="Times New Roman"/>
          <w:b w:val="false"/>
          <w:i w:val="false"/>
          <w:color w:val="000000"/>
          <w:sz w:val="22"/>
        </w:rPr>
        <w:t xml:space="preserve"> apply subsequently. The commandant or designee shall notify the applicant of the decision in writing within ten working days of receipt of the grievance.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801—10.46</w:t>
      </w:r>
      <w:r>
        <w:rPr>
          <w:rFonts w:ascii="Times New Roman" w:hAnsi="Times New Roman"/>
          <w:b/>
          <w:i w:val="false"/>
          <w:color w:val="000000"/>
          <w:sz w:val="22"/>
        </w:rPr>
        <w:t xml:space="preserve">(35A,35D) </w:t>
      </w:r>
      <w:r>
        <w:rPr>
          <w:rFonts w:ascii="Times New Roman" w:hAnsi="Times New Roman"/>
          <w:b/>
          <w:i w:val="false"/>
          <w:color w:val="000000"/>
          <w:sz w:val="22"/>
        </w:rPr>
        <w:t xml:space="preserve">Member appeal process. </w:t>
      </w:r>
      <w:r>
        <w:rPr>
          <w:rFonts w:ascii="Times New Roman" w:hAnsi="Times New Roman"/>
          <w:b w:val="false"/>
          <w:i w:val="false"/>
          <w:color w:val="000000"/>
          <w:sz w:val="22"/>
        </w:rPr>
        <w:t xml:space="preserve">A member who believes that any of the provisions of </w:t>
      </w:r>
      <w:hyperlink r:id="rId80">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 xml:space="preserve"> have not been upheld or have been upheld unfairly may file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val="false"/>
          <w:color w:val="000000"/>
          <w:sz w:val="22"/>
        </w:rPr>
        <w:t>A member shall discuss the problem and action desired with the assigned social worker within five working days of the incident which caused the problem. The social worker shall investigate the situation and attempt to resolve the problem within five working days of the discussion with the member. If the assigned social worker has allegedly caused the grievance, the member may file the grievance directly with the social work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val="false"/>
          <w:color w:val="000000"/>
          <w:sz w:val="22"/>
        </w:rPr>
        <w:t>If unable to resolve the problem, or if the member is dissatisfied with the solution, the social worker shall assist the member with filing a formal grievance and shall submit a report of the facts and recommendations to the administrator of nursing within five working days of the discussion with the member. The administrator of nursing shall inform the member of the decision in writing within five working days of receipt of the social worker’s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administrator of nursing, or if no decision is given within the time specified in subrule </w:t>
      </w:r>
      <w:hyperlink r:id="rId81">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xml:space="preserve">, the member may appeal to the commandant or designee within ten working days of the decision of the administrator of nursing or, if no decision is given, within ten working days of the time limit specified in subrule </w:t>
      </w:r>
      <w:hyperlink r:id="rId82">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The grievance shall be submitted in writing and contain a statement of the cause of the grievance and requested action. A copy of the decision of the administrator of nursing shall be attached to the grievance statement, if applicable. The commandant or designee shall investigate the grievance and may hold an informal hearing with the member, administrator of nursing, and other involved individuals. The commandant or designee shall notify the member and the administrator of nursing of the decision in writing within ten working days of receipt of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commandant, or if no decision is given within the time limits specified in subrule </w:t>
      </w:r>
      <w:hyperlink r:id="rId83">
        <w:r>
          <w:rPr>
            <w:rStyle w:val="Hyperlink"/>
            <w:rFonts w:ascii="Times New Roman" w:hAnsi="Times New Roman"/>
            <w:b w:val="false"/>
            <w:i w:val="false"/>
            <w:color w:val="000000"/>
            <w:sz w:val="22"/>
          </w:rPr>
          <w:t>10.46(3)</w:t>
        </w:r>
      </w:hyperlink>
      <w:r>
        <w:rPr>
          <w:rFonts w:ascii="Times New Roman" w:hAnsi="Times New Roman"/>
          <w:b w:val="false"/>
          <w:i w:val="false"/>
          <w:color w:val="000000"/>
          <w:sz w:val="22"/>
        </w:rPr>
        <w:t>, the member may appeal to the commission within ten working days of the commandant’s decision. The member and commandant shall be notified in writing within five working days of the commission’s receipt of the appeal. The commission shall schedule a hearing with the member, commandant, and other involved individuals to determine the facts and make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10.46(5)</w:t>
      </w:r>
      <w:r>
        <w:rPr>
          <w:rFonts w:ascii="Times New Roman" w:hAnsi="Times New Roman"/>
          <w:b w:val="false"/>
          <w:i w:val="false"/>
          <w:color w:val="000000"/>
          <w:sz w:val="22"/>
        </w:rPr>
        <w:t> </w:t>
      </w:r>
      <w:r>
        <w:rPr>
          <w:rFonts w:ascii="Times New Roman" w:hAnsi="Times New Roman"/>
          <w:b w:val="false"/>
          <w:i w:val="false"/>
          <w:color w:val="000000"/>
          <w:sz w:val="22"/>
        </w:rPr>
        <w:t>The member may appoint any individual to represent the member in the appeal process, at the member’s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10.46(6)</w:t>
      </w:r>
      <w:r>
        <w:rPr>
          <w:rFonts w:ascii="Times New Roman" w:hAnsi="Times New Roman"/>
          <w:b w:val="false"/>
          <w:i w:val="false"/>
          <w:color w:val="000000"/>
          <w:sz w:val="22"/>
        </w:rPr>
        <w:t> </w:t>
      </w:r>
      <w:r>
        <w:rPr>
          <w:rFonts w:ascii="Times New Roman" w:hAnsi="Times New Roman"/>
          <w:b w:val="false"/>
          <w:i w:val="false"/>
          <w:color w:val="000000"/>
          <w:sz w:val="22"/>
        </w:rPr>
        <w:t>No reprisals of any kind shall be taken against a member for filing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may obtain judicial review of the commission’s final decision in accordance with Iowa Code chapter </w:t>
      </w:r>
      <w:hyperlink r:id="rId8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10.46(8)</w:t>
      </w:r>
      <w:r>
        <w:rPr>
          <w:rFonts w:ascii="Times New Roman" w:hAnsi="Times New Roman"/>
          <w:b w:val="false"/>
          <w:i w:val="false"/>
          <w:color w:val="000000"/>
          <w:sz w:val="22"/>
        </w:rPr>
        <w:t> </w:t>
      </w:r>
      <w:r>
        <w:rPr>
          <w:rFonts w:ascii="Times New Roman" w:hAnsi="Times New Roman"/>
          <w:b w:val="false"/>
          <w:i w:val="false"/>
          <w:color w:val="000000"/>
          <w:sz w:val="22"/>
        </w:rPr>
        <w:t>The time limits specified in the above subrules may be extended when mutually agreed upon by the persons involved in the appeal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85">
        <w:r>
          <w:rPr>
            <w:rStyle w:val="Hyperlink"/>
            <w:rFonts w:ascii="Times New Roman" w:hAnsi="Times New Roman"/>
            <w:b w:val="false"/>
            <w:i w:val="false"/>
            <w:color w:val="000000"/>
            <w:sz w:val="22"/>
          </w:rPr>
          <w:t>801—10.45</w:t>
        </w:r>
      </w:hyperlink>
      <w:r>
        <w:rPr>
          <w:rFonts w:ascii="Times New Roman" w:hAnsi="Times New Roman"/>
          <w:b w:val="false"/>
          <w:i w:val="false"/>
          <w:color w:val="000000"/>
          <w:sz w:val="22"/>
        </w:rPr>
        <w:t xml:space="preserve">(35A,35D) and </w:t>
      </w:r>
      <w:hyperlink r:id="rId86">
        <w:r>
          <w:rPr>
            <w:rStyle w:val="Hyperlink"/>
            <w:rFonts w:ascii="Times New Roman" w:hAnsi="Times New Roman"/>
            <w:b w:val="false"/>
            <w:i w:val="false"/>
            <w:color w:val="000000"/>
            <w:sz w:val="22"/>
          </w:rPr>
          <w:t>801—10.46(35A,35D)</w:t>
        </w:r>
      </w:hyperlink>
      <w:r>
        <w:rPr>
          <w:rFonts w:ascii="Times New Roman" w:hAnsi="Times New Roman"/>
          <w:b w:val="false"/>
          <w:i w:val="false"/>
          <w:color w:val="000000"/>
          <w:sz w:val="22"/>
        </w:rPr>
        <w:t xml:space="preserve"> are intended to implement Iowa Code subsection </w:t>
      </w:r>
      <w:hyperlink r:id="rId87">
        <w:r>
          <w:rPr>
            <w:rStyle w:val="Hyperlink"/>
            <w:rFonts w:ascii="Times New Roman" w:hAnsi="Times New Roman"/>
            <w:b w:val="false"/>
            <w:i w:val="false"/>
            <w:color w:val="000000"/>
            <w:sz w:val="22"/>
          </w:rPr>
          <w:t>35A.3(4)</w:t>
        </w:r>
      </w:hyperlink>
      <w:r>
        <w:rPr>
          <w:rFonts w:ascii="Times New Roman" w:hAnsi="Times New Roman"/>
          <w:b w:val="false"/>
          <w:i w:val="false"/>
          <w:color w:val="000000"/>
          <w:sz w:val="22"/>
        </w:rPr>
        <w:t xml:space="preserve"> and Iowa Code chapter </w:t>
      </w:r>
      <w:hyperlink r:id="rId88">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801—10.47</w:t>
      </w:r>
      <w:r>
        <w:rPr>
          <w:rFonts w:ascii="Times New Roman" w:hAnsi="Times New Roman"/>
          <w:b/>
          <w:i w:val="false"/>
          <w:color w:val="000000"/>
          <w:sz w:val="22"/>
        </w:rPr>
        <w:t xml:space="preserve">(35D) </w:t>
      </w:r>
      <w:r>
        <w:rPr>
          <w:rFonts w:ascii="Times New Roman" w:hAnsi="Times New Roman"/>
          <w:b/>
          <w:i w:val="false"/>
          <w:color w:val="000000"/>
          <w:sz w:val="22"/>
        </w:rPr>
        <w:t xml:space="preserve">Involuntary discharge appeal. </w:t>
      </w:r>
      <w:r>
        <w:rPr>
          <w:rFonts w:ascii="Times New Roman" w:hAnsi="Times New Roman"/>
          <w:b w:val="false"/>
          <w:i w:val="false"/>
          <w:color w:val="000000"/>
          <w:sz w:val="22"/>
        </w:rPr>
        <w:t>When a member appeals an involuntary discharge,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val="false"/>
          <w:color w:val="000000"/>
          <w:sz w:val="22"/>
        </w:rPr>
        <w:t>The member shall file the appeal with the commission within 5 calendar days of receipt of the discharge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conduct a contested case proceeding in accordance with the uniform rules on contested case proceedings found in </w:t>
      </w:r>
      <w:hyperlink r:id="rId8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The rules in </w:t>
      </w:r>
      <w:hyperlink r:id="rId9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are adopted by reference with the following amendment: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presiding officer must be a member of the commission and cannot be an administrative law judge with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render a decision on the appeal and notify the member of the decision in writing within 10 calendar days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w:t>
      </w:r>
      <w:r>
        <w:rPr>
          <w:rFonts w:ascii="Times New Roman" w:hAnsi="Times New Roman"/>
          <w:b w:val="false"/>
          <w:i w:val="false"/>
          <w:color w:val="000000"/>
          <w:sz w:val="22"/>
        </w:rPr>
        <w:t> </w:t>
      </w:r>
      <w:r>
        <w:rPr>
          <w:rFonts w:ascii="Times New Roman" w:hAnsi="Times New Roman"/>
          <w:b w:val="false"/>
          <w:i w:val="false"/>
          <w:color w:val="000000"/>
          <w:sz w:val="22"/>
        </w:rPr>
        <w:t>If the member is not satisfied with the decision of the commission, the member may appeal the commission’s decision by filing an appeal with the department of inspections and appeals within 5 calendar days of being notified in writing of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render a decision on the appeal of the commission’s decision and notify the member of the decision in writing within 15 calendar days of the filing of the appeal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10.47(6)</w:t>
      </w:r>
      <w:r>
        <w:rPr>
          <w:rFonts w:ascii="Times New Roman" w:hAnsi="Times New Roman"/>
          <w:b w:val="false"/>
          <w:i w:val="false"/>
          <w:color w:val="000000"/>
          <w:sz w:val="22"/>
        </w:rPr>
        <w:t> </w:t>
      </w:r>
      <w:r>
        <w:rPr>
          <w:rFonts w:ascii="Times New Roman" w:hAnsi="Times New Roman"/>
          <w:b w:val="false"/>
          <w:i w:val="false"/>
          <w:color w:val="000000"/>
          <w:sz w:val="22"/>
        </w:rPr>
        <w:t>The maximum time period that shall elapse between receipt by the member of the discharge notice and actual discharge shall not exceed 55 days which includes the 30-day discharge notice period and any time during which any appeals to the commission or the department of inspections and appeals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10.47(7)</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not satisfied with the decision of the department of inspections and appeals, the member may seek judicial review in accordance with Iowa Code chapter </w:t>
      </w:r>
      <w:hyperlink r:id="rId9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member’s discharge under rule </w:t>
      </w:r>
      <w:hyperlink r:id="rId92">
        <w:r>
          <w:rPr>
            <w:rStyle w:val="Hyperlink"/>
            <w:rFonts w:ascii="Times New Roman" w:hAnsi="Times New Roman"/>
            <w:b w:val="false"/>
            <w:i w:val="false"/>
            <w:color w:val="000000"/>
            <w:sz w:val="22"/>
          </w:rPr>
          <w:t>801—10.43</w:t>
        </w:r>
      </w:hyperlink>
      <w:r>
        <w:rPr>
          <w:rFonts w:ascii="Times New Roman" w:hAnsi="Times New Roman"/>
          <w:b w:val="false"/>
          <w:i w:val="false"/>
          <w:color w:val="000000"/>
          <w:sz w:val="22"/>
        </w:rPr>
        <w:t>(35D) shall not be stayed while judicial review is pending.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8635B</w:t>
      </w:r>
      <w:r>
        <w:rPr>
          <w:rFonts w:ascii="Times New Roman" w:hAnsi="Times New Roman"/>
          <w:b w:val="false"/>
          <w:i w:val="false"/>
          <w:color w:val="000000"/>
          <w:sz w:val="16"/>
        </w:rPr>
        <w:t>, IAB 3/24/10, effective 4/28/10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7/22/26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801—10.49</w:t>
      </w:r>
      <w:r>
        <w:rPr>
          <w:rFonts w:ascii="Times New Roman" w:hAnsi="Times New Roman"/>
          <w:b/>
          <w:i w:val="false"/>
          <w:color w:val="000000"/>
          <w:sz w:val="22"/>
        </w:rPr>
        <w:t xml:space="preserve">(35D) </w:t>
      </w:r>
      <w:r>
        <w:rPr>
          <w:rFonts w:ascii="Times New Roman" w:hAnsi="Times New Roman"/>
          <w:b/>
          <w:i w:val="false"/>
          <w:color w:val="000000"/>
          <w:sz w:val="22"/>
        </w:rPr>
        <w:t xml:space="preserve">Licensed nursing home administrator. </w:t>
      </w:r>
      <w:r>
        <w:rPr>
          <w:rFonts w:ascii="Times New Roman" w:hAnsi="Times New Roman"/>
          <w:b w:val="false"/>
          <w:i w:val="false"/>
          <w:color w:val="000000"/>
          <w:sz w:val="22"/>
        </w:rPr>
        <w:t>The commandant shall employ a licensed nursing home administrator and convey the authority for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GROUNDS AND FACILITY ADMINISTRATION</w:t>
      </w:r>
    </w:p>
    <w:p>
      <w:pPr>
        <w:spacing w:before="0" w:after="0"/>
        <w:ind w:left="120"/>
        <w:jc w:val="both"/>
      </w:pPr>
      <w:r>
        <w:rPr>
          <w:rFonts w:ascii="Times New Roman" w:hAnsi="Times New Roman"/>
          <w:b/>
          <w:i w:val="false"/>
          <w:color w:val="000000"/>
          <w:sz w:val="22"/>
        </w:rPr>
        <w:t>801—10.50</w:t>
      </w:r>
      <w:r>
        <w:rPr>
          <w:rFonts w:ascii="Times New Roman" w:hAnsi="Times New Roman"/>
          <w:b/>
          <w:i w:val="false"/>
          <w:color w:val="000000"/>
          <w:sz w:val="22"/>
        </w:rPr>
        <w:t xml:space="preserve">(35D) </w:t>
      </w:r>
      <w:r>
        <w:rPr>
          <w:rFonts w:ascii="Times New Roman" w:hAnsi="Times New Roman"/>
          <w:b/>
          <w:i w:val="false"/>
          <w:color w:val="000000"/>
          <w:sz w:val="22"/>
        </w:rPr>
        <w:t xml:space="preserve">Visitors. </w:t>
      </w:r>
      <w:r>
        <w:rPr>
          <w:rFonts w:ascii="Times New Roman" w:hAnsi="Times New Roman"/>
          <w:b w:val="false"/>
          <w:i w:val="false"/>
          <w:color w:val="000000"/>
          <w:sz w:val="22"/>
        </w:rPr>
        <w:t>Visitors are welcome to IVH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w:t>
      </w:r>
      <w:r>
        <w:rPr>
          <w:rFonts w:ascii="Times New Roman" w:hAnsi="Times New Roman"/>
          <w:b w:val="false"/>
          <w:i w:val="false"/>
          <w:color w:val="000000"/>
          <w:sz w:val="22"/>
        </w:rPr>
        <w:t> </w:t>
      </w:r>
      <w:r>
        <w:rPr>
          <w:rFonts w:ascii="Times New Roman" w:hAnsi="Times New Roman"/>
          <w:b w:val="false"/>
          <w:i w:val="false"/>
          <w:color w:val="000000"/>
          <w:sz w:val="22"/>
        </w:rPr>
        <w:t>Member visitation hours are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Visiting hours may be extended on an individual basis with the approval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10.50(2)</w:t>
      </w:r>
      <w:r>
        <w:rPr>
          <w:rFonts w:ascii="Times New Roman" w:hAnsi="Times New Roman"/>
          <w:b w:val="false"/>
          <w:i w:val="false"/>
          <w:color w:val="000000"/>
          <w:sz w:val="22"/>
        </w:rPr>
        <w:t> </w:t>
      </w:r>
      <w:r>
        <w:rPr>
          <w:rFonts w:ascii="Times New Roman" w:hAnsi="Times New Roman"/>
          <w:b w:val="false"/>
          <w:i w:val="false"/>
          <w:color w:val="000000"/>
          <w:sz w:val="22"/>
        </w:rPr>
        <w:t>Visitors are subject to the policies and procedures as established by IVH, including the tobacco-free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10.50(3)</w:t>
      </w:r>
      <w:r>
        <w:rPr>
          <w:rFonts w:ascii="Times New Roman" w:hAnsi="Times New Roman"/>
          <w:b w:val="false"/>
          <w:i w:val="false"/>
          <w:color w:val="000000"/>
          <w:sz w:val="22"/>
        </w:rPr>
        <w:t> </w:t>
      </w:r>
      <w:r>
        <w:rPr>
          <w:rFonts w:ascii="Times New Roman" w:hAnsi="Times New Roman"/>
          <w:b w:val="false"/>
          <w:i w:val="false"/>
          <w:color w:val="000000"/>
          <w:sz w:val="22"/>
        </w:rPr>
        <w:t>Tours of IVH may be arranged by contacting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10.50(4)</w:t>
      </w:r>
      <w:r>
        <w:rPr>
          <w:rFonts w:ascii="Times New Roman" w:hAnsi="Times New Roman"/>
          <w:b w:val="false"/>
          <w:i w:val="false"/>
          <w:color w:val="000000"/>
          <w:sz w:val="22"/>
        </w:rPr>
        <w:t> </w:t>
      </w:r>
      <w:r>
        <w:rPr>
          <w:rFonts w:ascii="Times New Roman" w:hAnsi="Times New Roman"/>
          <w:b w:val="false"/>
          <w:i w:val="false"/>
          <w:color w:val="000000"/>
          <w:sz w:val="22"/>
        </w:rPr>
        <w:t>Weapons, illegal substances or alcoholic beverages are not permitted 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10.50(5)</w:t>
      </w:r>
      <w:r>
        <w:rPr>
          <w:rFonts w:ascii="Times New Roman" w:hAnsi="Times New Roman"/>
          <w:b w:val="false"/>
          <w:i w:val="false"/>
          <w:color w:val="000000"/>
          <w:sz w:val="22"/>
        </w:rPr>
        <w:t> </w:t>
      </w:r>
      <w:r>
        <w:rPr>
          <w:rFonts w:ascii="Times New Roman" w:hAnsi="Times New Roman"/>
          <w:b w:val="false"/>
          <w:i w:val="false"/>
          <w:color w:val="000000"/>
          <w:sz w:val="22"/>
        </w:rPr>
        <w:t>Any disruptive behavior on the part of a visitor shall result in modification, denial or termination of visiting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10.50(6)</w:t>
      </w:r>
      <w:r>
        <w:rPr>
          <w:rFonts w:ascii="Times New Roman" w:hAnsi="Times New Roman"/>
          <w:b w:val="false"/>
          <w:i w:val="false"/>
          <w:color w:val="000000"/>
          <w:sz w:val="22"/>
        </w:rPr>
        <w:t> </w:t>
      </w:r>
      <w:r>
        <w:rPr>
          <w:rFonts w:ascii="Times New Roman" w:hAnsi="Times New Roman"/>
          <w:b w:val="false"/>
          <w:i w:val="false"/>
          <w:color w:val="000000"/>
          <w:sz w:val="22"/>
        </w:rPr>
        <w:t>Trespass. Visitors shall not enter IVH grounds with the intent to commit a public offense, remain upon the grounds or in IVH buildings without justification after being notified or requested to abstain from entering, or to remove or vacate therefrom by any peace officer, magistrate, or public employee whose duty it is to supervise the use or maintenance of IVH and its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10.50(7)</w:t>
      </w:r>
      <w:r>
        <w:rPr>
          <w:rFonts w:ascii="Times New Roman" w:hAnsi="Times New Roman"/>
          <w:b w:val="false"/>
          <w:i w:val="false"/>
          <w:color w:val="000000"/>
          <w:sz w:val="22"/>
        </w:rPr>
        <w:t> </w:t>
      </w:r>
      <w:r>
        <w:rPr>
          <w:rFonts w:ascii="Times New Roman" w:hAnsi="Times New Roman"/>
          <w:b w:val="false"/>
          <w:i w:val="false"/>
          <w:color w:val="000000"/>
          <w:sz w:val="22"/>
        </w:rPr>
        <w:t>Any visitor violating any of the rules within this chapter may be restricted from IVH for a period of time to be determined by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10.50(8)</w:t>
      </w:r>
      <w:r>
        <w:rPr>
          <w:rFonts w:ascii="Times New Roman" w:hAnsi="Times New Roman"/>
          <w:b w:val="false"/>
          <w:i w:val="false"/>
          <w:color w:val="000000"/>
          <w:sz w:val="22"/>
        </w:rPr>
        <w:t> </w:t>
      </w:r>
      <w:r>
        <w:rPr>
          <w:rFonts w:ascii="Times New Roman" w:hAnsi="Times New Roman"/>
          <w:b w:val="false"/>
          <w:i w:val="false"/>
          <w:color w:val="000000"/>
          <w:sz w:val="22"/>
        </w:rPr>
        <w:t>Visitors who bring pets must comply with IVH rules regarding pet health and safety. Pets shall be kept on a leash while on IVH grounds.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801—10.51</w:t>
      </w:r>
      <w:r>
        <w:rPr>
          <w:rFonts w:ascii="Times New Roman" w:hAnsi="Times New Roman"/>
          <w:b/>
          <w:i w:val="false"/>
          <w:color w:val="000000"/>
          <w:sz w:val="22"/>
        </w:rPr>
        <w:t xml:space="preserve">(35D) </w:t>
      </w:r>
      <w:r>
        <w:rPr>
          <w:rFonts w:ascii="Times New Roman" w:hAnsi="Times New Roman"/>
          <w:b/>
          <w:i w:val="false"/>
          <w:color w:val="000000"/>
          <w:sz w:val="22"/>
        </w:rPr>
        <w:t xml:space="preserve">Mail.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2675C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8/17/16</w:t>
      </w:r>
      <w:r>
        <w:rPr>
          <w:rFonts w:ascii="Times New Roman" w:hAnsi="Times New Roman"/>
          <w:b w:val="false"/>
          <w:i w:val="false"/>
          <w:color w:val="000000"/>
          <w:sz w:val="22"/>
        </w:rPr>
        <w:t>, effective 9/21/16.</w:t>
      </w:r>
    </w:p>
    <w:p>
      <w:pPr>
        <w:spacing w:before="0" w:after="0"/>
        <w:ind w:left="120"/>
        <w:jc w:val="both"/>
      </w:pPr>
      <w:r>
        <w:rPr>
          <w:rFonts w:ascii="Times New Roman" w:hAnsi="Times New Roman"/>
          <w:b/>
          <w:i w:val="false"/>
          <w:color w:val="000000"/>
          <w:sz w:val="22"/>
        </w:rPr>
        <w:t>801—10.52</w:t>
      </w:r>
      <w:r>
        <w:rPr>
          <w:rFonts w:ascii="Times New Roman" w:hAnsi="Times New Roman"/>
          <w:b/>
          <w:i w:val="false"/>
          <w:color w:val="000000"/>
          <w:sz w:val="22"/>
        </w:rPr>
        <w:t xml:space="preserve">(35D)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Releases to the news media shall be the responsibility of the commandant or designee. Authority for dissemination and release of information shall be designated to other persons at the discretion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Interviews of members within IVH by the news media or other outside groups are permitted only with prior consent of the member to be interviewed or the member’s legal representative. At the request of the person or group who wishes to conduct an interview, the commandant or designee shall seek to obtain the required consent from the member or the member’s legal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801—10.53</w:t>
      </w:r>
      <w:r>
        <w:rPr>
          <w:rFonts w:ascii="Times New Roman" w:hAnsi="Times New Roman"/>
          <w:b/>
          <w:i w:val="false"/>
          <w:color w:val="000000"/>
          <w:sz w:val="22"/>
        </w:rPr>
        <w:t xml:space="preserve">(35D)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new clothing, books, games, recreational equipment or other gifts shall be made directly to the commandant or designee. The commandant or designee shall evaluate the donation in terms of the nature of the contribution to the facility program. The commandant or designee shall be responsible for accepting the donation and reporting the gift to the commission. All monetary gifts shall be acknowledged in writing to the donor and reported to the Iowa ethics and campaign disclosure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801—10.54</w:t>
      </w:r>
      <w:r>
        <w:rPr>
          <w:rFonts w:ascii="Times New Roman" w:hAnsi="Times New Roman"/>
          <w:b/>
          <w:i w:val="false"/>
          <w:color w:val="000000"/>
          <w:sz w:val="22"/>
        </w:rPr>
        <w:t xml:space="preserve">(35D) </w:t>
      </w:r>
      <w:r>
        <w:rPr>
          <w:rFonts w:ascii="Times New Roman" w:hAnsi="Times New Roman"/>
          <w:b/>
          <w:i w:val="false"/>
          <w:color w:val="000000"/>
          <w:sz w:val="22"/>
        </w:rPr>
        <w:t xml:space="preserve">Photographing and recording of members and use of cameras.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Photographs and recordings of members within IVH by news media or other outside groups are permitted only with prior consent of the member to be photographed or recorded, or the member’s legal representative. At the request of the person or group who wishes to make photographs or recordings, the commandant or designee shall seek to obtain the required consent from the member or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Every effort shall be made to preserve the inherent dignity of the member and to preclude exploitation or embarrassment of the member or the family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801—10.55</w:t>
      </w:r>
      <w:r>
        <w:rPr>
          <w:rFonts w:ascii="Times New Roman" w:hAnsi="Times New Roman"/>
          <w:b/>
          <w:i w:val="false"/>
          <w:color w:val="000000"/>
          <w:sz w:val="22"/>
        </w:rPr>
        <w:t xml:space="preserve">(35D) </w:t>
      </w:r>
      <w:r>
        <w:rPr>
          <w:rFonts w:ascii="Times New Roman" w:hAnsi="Times New Roman"/>
          <w:b/>
          <w:i w:val="false"/>
          <w:color w:val="000000"/>
          <w:sz w:val="22"/>
        </w:rPr>
        <w:t xml:space="preserve">Use of grounds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Persons wishing to use the facilities and grounds for civic purposes, programs for members, meetings, and similar purposes, must contact the commandant or designee at least two weeks in advance of the requested date. The commandant or designee may disapprove a request when the requested facilities are scheduled for use by or for the members, or when the activity would disrupt the normal operation of IVH. Previous arrangements to use the facilities or grounds may be canceled by the commandant or designee in the event of an emergency or when changes in the schedule require the use of the facilities or grounds for the members. Persons who use the facilities or grounds shall be held responsible for leaving the facilities or grounds in satisfactory condition and for any damages caused by or resulting from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Outside organizations permitted to use facilities or grounds shall observe the same rules as visitors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801—10.56</w:t>
      </w:r>
      <w:r>
        <w:rPr>
          <w:rFonts w:ascii="Times New Roman" w:hAnsi="Times New Roman"/>
          <w:b/>
          <w:i w:val="false"/>
          <w:color w:val="000000"/>
          <w:sz w:val="22"/>
        </w:rPr>
        <w:t xml:space="preserve">(35D) </w:t>
      </w:r>
      <w:r>
        <w:rPr>
          <w:rFonts w:ascii="Times New Roman" w:hAnsi="Times New Roman"/>
          <w:b/>
          <w:i w:val="false"/>
          <w:color w:val="000000"/>
          <w:sz w:val="22"/>
        </w:rPr>
        <w:t xml:space="preserve">Nonmember use of cottages. </w:t>
      </w:r>
      <w:r>
        <w:rPr>
          <w:rFonts w:ascii="Times New Roman" w:hAnsi="Times New Roman"/>
          <w:b w:val="false"/>
          <w:i w:val="false"/>
          <w:color w:val="000000"/>
          <w:sz w:val="22"/>
        </w:rPr>
        <w:t>Cottages may be made available to IVH staff or to other members of the public with the commandant’s or designee’s approval and at the established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Expenses incurred as a result of damage or need for exceptional cleaning/sanitizing procedures, or both, may result in additional charges as determined by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Posted occupancy capacities shall not be exceeded and may be grounds for denial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Pets are only allowed inside the cottages as outlined in the IVH cottage occupancy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801—10.57</w:t>
      </w:r>
      <w:r>
        <w:rPr>
          <w:rFonts w:ascii="Times New Roman" w:hAnsi="Times New Roman"/>
          <w:b/>
          <w:i w:val="false"/>
          <w:color w:val="000000"/>
          <w:sz w:val="22"/>
        </w:rPr>
        <w:t xml:space="preserve">(35D) </w:t>
      </w:r>
      <w:r>
        <w:rPr>
          <w:rFonts w:ascii="Times New Roman" w:hAnsi="Times New Roman"/>
          <w:b/>
          <w:i w:val="false"/>
          <w:color w:val="000000"/>
          <w:sz w:val="22"/>
        </w:rPr>
        <w:t xml:space="preserve">Operating motor vehicles on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The operator of a motor vehicle shall have a valid license for the type of vehicle being driven upon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All persons operating a motor vehicle on IVH grounds shall comply with the applicable state and local laws and IVH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val="false"/>
          <w:color w:val="000000"/>
          <w:sz w:val="22"/>
        </w:rPr>
        <w:t>No driver of a motor vehicle or motorcycle shall disobey the instructions of any traffic-control device, warning, or sign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10.57(4)</w:t>
      </w:r>
      <w:r>
        <w:rPr>
          <w:rFonts w:ascii="Times New Roman" w:hAnsi="Times New Roman"/>
          <w:b w:val="false"/>
          <w:i w:val="false"/>
          <w:color w:val="000000"/>
          <w:sz w:val="22"/>
        </w:rPr>
        <w:t> </w:t>
      </w:r>
      <w:r>
        <w:rPr>
          <w:rFonts w:ascii="Times New Roman" w:hAnsi="Times New Roman"/>
          <w:b w:val="false"/>
          <w:i w:val="false"/>
          <w:color w:val="000000"/>
          <w:sz w:val="22"/>
        </w:rPr>
        <w:t>No person shall drive any vehicle in such a manner as to indicate either a willful or wanton disregard for the safety of person or property. The person operating the motor vehicle or motorcycle shall have same under control and shall reduce the speed to 20 miles per hour on IVH grounds and reduce the speed to a lower, reasonable rate when approaching and passing a person walking in the traveled portion of a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10.57(5)</w:t>
      </w:r>
      <w:r>
        <w:rPr>
          <w:rFonts w:ascii="Times New Roman" w:hAnsi="Times New Roman"/>
          <w:b w:val="false"/>
          <w:i w:val="false"/>
          <w:color w:val="000000"/>
          <w:sz w:val="22"/>
        </w:rPr>
        <w:t> </w:t>
      </w:r>
      <w:r>
        <w:rPr>
          <w:rFonts w:ascii="Times New Roman" w:hAnsi="Times New Roman"/>
          <w:b w:val="false"/>
          <w:i w:val="false"/>
          <w:color w:val="000000"/>
          <w:sz w:val="22"/>
        </w:rPr>
        <w:t>No person shall stop, park, or leave standing any type vehicle in established fire lanes, emergency vehicle areas, and other essential lanes. No person shall park any type vehicle on roadways.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10.57(6)</w:t>
      </w:r>
      <w:r>
        <w:rPr>
          <w:rFonts w:ascii="Times New Roman" w:hAnsi="Times New Roman"/>
          <w:b w:val="false"/>
          <w:i w:val="false"/>
          <w:color w:val="000000"/>
          <w:sz w:val="22"/>
        </w:rPr>
        <w:t> </w:t>
      </w:r>
      <w:r>
        <w:rPr>
          <w:rFonts w:ascii="Times New Roman" w:hAnsi="Times New Roman"/>
          <w:b w:val="false"/>
          <w:i w:val="false"/>
          <w:color w:val="000000"/>
          <w:sz w:val="22"/>
        </w:rPr>
        <w:t>No person shall leave any type vehicle unattended by not locking doors or removing keys.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rules may cause limitation or curtailment of driving privileges on IVH grounds for an indefinite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10.57(8)</w:t>
      </w:r>
      <w:r>
        <w:rPr>
          <w:rFonts w:ascii="Times New Roman" w:hAnsi="Times New Roman"/>
          <w:b w:val="false"/>
          <w:i w:val="false"/>
          <w:color w:val="000000"/>
          <w:sz w:val="22"/>
        </w:rPr>
        <w:t> </w:t>
      </w:r>
      <w:r>
        <w:rPr>
          <w:rFonts w:ascii="Times New Roman" w:hAnsi="Times New Roman"/>
          <w:b w:val="false"/>
          <w:i w:val="false"/>
          <w:color w:val="000000"/>
          <w:sz w:val="22"/>
        </w:rPr>
        <w:t>Motor vehicles belonging to members may be parked in member-designated parking on IVH grounds.</w:t>
      </w:r>
    </w:p>
    <w:p>
      <w:pPr>
        <w:spacing w:before="0" w:after="0"/>
        <w:ind w:left="120"/>
        <w:jc w:val="center"/>
      </w:pPr>
      <w:r>
        <w:rPr>
          <w:rFonts w:ascii="Times New Roman" w:hAnsi="Times New Roman"/>
          <w:b w:val="false"/>
          <w:i w:val="false"/>
          <w:color w:val="000000"/>
          <w:sz w:val="22"/>
        </w:rPr>
        <w:t xml:space="preserve">This chapter is intended to implement Iowa Code subsection </w:t>
      </w:r>
      <w:hyperlink r:id="rId94">
        <w:r>
          <w:rPr>
            <w:rStyle w:val="Hyperlink"/>
            <w:rFonts w:ascii="Times New Roman" w:hAnsi="Times New Roman"/>
            <w:b w:val="false"/>
            <w:i w:val="false"/>
            <w:color w:val="000000"/>
            <w:sz w:val="22"/>
          </w:rPr>
          <w:t>35A.3(4)</w:t>
        </w:r>
      </w:hyperlink>
      <w:r>
        <w:rPr>
          <w:rFonts w:ascii="Times New Roman" w:hAnsi="Times New Roman"/>
          <w:b w:val="false"/>
          <w:i w:val="false"/>
          <w:color w:val="000000"/>
          <w:sz w:val="22"/>
        </w:rPr>
        <w:t xml:space="preserve"> and chapter </w:t>
      </w:r>
      <w:hyperlink r:id="rId95">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7/23/76, Notice 6/14/76—published 8/9/76, effective 9/13/76]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6/2/81, Notice 3/18/81—published 6/24/81, effective 7/29/81]</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1/7/93, Notice 11/25/92—published 1/20/93, effective 3/1/93]</w:t>
      </w:r>
    </w:p>
    <w:p>
      <w:pPr>
        <w:spacing w:before="0" w:after="0"/>
        <w:ind w:left="120"/>
        <w:jc w:val="center"/>
      </w:pPr>
      <w:r>
        <w:rPr>
          <w:rFonts w:ascii="Times New Roman" w:hAnsi="Times New Roman"/>
          <w:b w:val="false"/>
          <w:i w:val="false"/>
          <w:color w:val="000000"/>
          <w:sz w:val="21"/>
        </w:rPr>
        <w:t>[Filed 7/12/96, Notice 5/8/96—published 7/31/96, effective 9/4/96]</w:t>
      </w:r>
    </w:p>
    <w:p>
      <w:pPr>
        <w:spacing w:before="0" w:after="0"/>
        <w:ind w:left="120"/>
        <w:jc w:val="center"/>
      </w:pPr>
      <w:r>
        <w:rPr>
          <w:rFonts w:ascii="Times New Roman" w:hAnsi="Times New Roman"/>
          <w:b w:val="false"/>
          <w:i w:val="false"/>
          <w:color w:val="000000"/>
          <w:sz w:val="21"/>
        </w:rPr>
        <w:t>[Filed 4/15/99, Notice 1/27/99—published 5/5/99, effective 6/9/99]</w:t>
      </w:r>
    </w:p>
    <w:p>
      <w:pPr>
        <w:spacing w:before="0" w:after="0"/>
        <w:ind w:left="120"/>
        <w:jc w:val="center"/>
      </w:pPr>
      <w:r>
        <w:rPr>
          <w:rFonts w:ascii="Times New Roman" w:hAnsi="Times New Roman"/>
          <w:b w:val="false"/>
          <w:i w:val="false"/>
          <w:color w:val="000000"/>
          <w:sz w:val="21"/>
        </w:rPr>
        <w:t>[Filed emergency 9/17/03—published 10/15/03, effective 9/17/03]</w:t>
      </w:r>
    </w:p>
    <w:p>
      <w:pPr>
        <w:spacing w:before="0" w:after="0"/>
        <w:ind w:left="120"/>
        <w:jc w:val="center"/>
      </w:pPr>
      <w:r>
        <w:rPr>
          <w:rFonts w:ascii="Times New Roman" w:hAnsi="Times New Roman"/>
          <w:b w:val="false"/>
          <w:i w:val="false"/>
          <w:color w:val="000000"/>
          <w:sz w:val="21"/>
        </w:rPr>
        <w:t>[Filed 1/8/07, Notice 10/25/06—published 1/31/07, effective 3/7/07]</w:t>
      </w:r>
    </w:p>
    <w:p>
      <w:pPr>
        <w:spacing w:before="0" w:after="0"/>
        <w:ind w:left="120"/>
        <w:jc w:val="center"/>
      </w:pPr>
      <w:r>
        <w:rPr>
          <w:rFonts w:ascii="Times New Roman" w:hAnsi="Times New Roman"/>
          <w:b w:val="false"/>
          <w:i w:val="false"/>
          <w:color w:val="000000"/>
          <w:sz w:val="21"/>
        </w:rPr>
        <w:t>[Filed 10/4/07, Notice 8/15/07—published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7890B</w:t>
      </w:r>
      <w:r>
        <w:rPr>
          <w:rFonts w:ascii="Times New Roman" w:hAnsi="Times New Roman"/>
          <w:b w:val="false"/>
          <w:i w:val="false"/>
          <w:color w:val="000000"/>
          <w:sz w:val="21"/>
        </w:rPr>
        <w:t xml:space="preserve"> (Notice ARC 7746B, IAB 5/6/09)</w:t>
      </w:r>
      <w:r>
        <w:rPr>
          <w:rFonts w:ascii="Times New Roman" w:hAnsi="Times New Roman"/>
          <w:b w:val="false"/>
          <w:i w:val="false"/>
          <w:color w:val="000000"/>
          <w:sz w:val="21"/>
        </w:rPr>
        <w:t>, IAB 7/1/09, effective 7/1/09]</w:t>
      </w:r>
    </w:p>
    <w:p>
      <w:pPr>
        <w:spacing w:before="0" w:after="0"/>
        <w:ind w:left="120"/>
        <w:jc w:val="center"/>
      </w:pPr>
      <w:r>
        <w:rPr>
          <w:rFonts w:ascii="Times New Roman" w:hAnsi="Times New Roman"/>
          <w:b w:val="false"/>
          <w:i w:val="false"/>
          <w:color w:val="000000"/>
          <w:sz w:val="21"/>
        </w:rPr>
        <w:t>[Filed Emergency ARC 8014B, IAB 7/29/09, effective 7/10/09]</w:t>
      </w:r>
    </w:p>
    <w:p>
      <w:pPr>
        <w:spacing w:before="0" w:after="0"/>
        <w:ind w:left="120"/>
        <w:jc w:val="center"/>
      </w:pPr>
      <w:r>
        <w:rPr>
          <w:rFonts w:ascii="Times New Roman" w:hAnsi="Times New Roman"/>
          <w:b w:val="false"/>
          <w:i w:val="false"/>
          <w:color w:val="000000"/>
          <w:sz w:val="21"/>
        </w:rPr>
        <w:t>[Filed ARC 8417B</w:t>
      </w:r>
      <w:r>
        <w:rPr>
          <w:rFonts w:ascii="Times New Roman" w:hAnsi="Times New Roman"/>
          <w:b w:val="false"/>
          <w:i w:val="false"/>
          <w:color w:val="000000"/>
          <w:sz w:val="21"/>
        </w:rPr>
        <w:t xml:space="preserve"> (Notice ARC 8235B,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8635B</w:t>
      </w:r>
      <w:r>
        <w:rPr>
          <w:rFonts w:ascii="Times New Roman" w:hAnsi="Times New Roman"/>
          <w:b w:val="false"/>
          <w:i w:val="false"/>
          <w:color w:val="000000"/>
          <w:sz w:val="21"/>
        </w:rPr>
        <w:t xml:space="preserve"> (Notice ARC 8488B, IAB 1/27/10)</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9689B</w:t>
      </w:r>
      <w:r>
        <w:rPr>
          <w:rFonts w:ascii="Times New Roman" w:hAnsi="Times New Roman"/>
          <w:b w:val="false"/>
          <w:i w:val="false"/>
          <w:color w:val="000000"/>
          <w:sz w:val="21"/>
        </w:rPr>
        <w:t xml:space="preserve"> (Notice ARC 9492B, IAB 5/4/11)</w:t>
      </w:r>
      <w:r>
        <w:rPr>
          <w:rFonts w:ascii="Times New Roman" w:hAnsi="Times New Roman"/>
          <w:b w:val="false"/>
          <w:i w:val="false"/>
          <w:color w:val="000000"/>
          <w:sz w:val="21"/>
        </w:rPr>
        <w:t>, IAB 8/24/11, effective 9/28/11]</w:t>
      </w:r>
    </w:p>
    <w:p>
      <w:pPr>
        <w:spacing w:before="0" w:after="0"/>
        <w:ind w:left="120"/>
        <w:jc w:val="center"/>
      </w:pPr>
      <w:r>
        <w:rPr>
          <w:rFonts w:ascii="Times New Roman" w:hAnsi="Times New Roman"/>
          <w:b w:val="false"/>
          <w:i w:val="false"/>
          <w:color w:val="000000"/>
          <w:sz w:val="21"/>
        </w:rPr>
        <w:t>[Filed ARC 1157C</w:t>
      </w:r>
      <w:r>
        <w:rPr>
          <w:rFonts w:ascii="Times New Roman" w:hAnsi="Times New Roman"/>
          <w:b w:val="false"/>
          <w:i w:val="false"/>
          <w:color w:val="000000"/>
          <w:sz w:val="21"/>
        </w:rPr>
        <w:t xml:space="preserve"> (Notice ARC 0924C, IAB 8/7/13)</w:t>
      </w:r>
      <w:r>
        <w:rPr>
          <w:rFonts w:ascii="Times New Roman" w:hAnsi="Times New Roman"/>
          <w:b w:val="false"/>
          <w:i w:val="false"/>
          <w:color w:val="000000"/>
          <w:sz w:val="21"/>
        </w:rPr>
        <w:t>, IAB 10/30/13, effective 12/4/13]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2675C</w:t>
      </w:r>
      <w:r>
        <w:rPr>
          <w:rFonts w:ascii="Times New Roman" w:hAnsi="Times New Roman"/>
          <w:b w:val="false"/>
          <w:i w:val="false"/>
          <w:color w:val="000000"/>
          <w:sz w:val="21"/>
        </w:rPr>
        <w:t xml:space="preserve"> (Notice ARC 2594C, IAB 6/22/16)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4587C</w:t>
      </w:r>
      <w:r>
        <w:rPr>
          <w:rFonts w:ascii="Times New Roman" w:hAnsi="Times New Roman"/>
          <w:b w:val="false"/>
          <w:i w:val="false"/>
          <w:color w:val="000000"/>
          <w:sz w:val="21"/>
        </w:rPr>
        <w:t xml:space="preserve"> (Notice ARC 4370C, IAB 3/27/19)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5800C</w:t>
      </w:r>
      <w:r>
        <w:rPr>
          <w:rFonts w:ascii="Times New Roman" w:hAnsi="Times New Roman"/>
          <w:b w:val="false"/>
          <w:i w:val="false"/>
          <w:color w:val="000000"/>
          <w:sz w:val="21"/>
        </w:rPr>
        <w:t xml:space="preserve"> (Notice ARC 5660C,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[Editorial change: IAC Supplement 7/22/26]</w:t>
      </w:r>
    </w:p>
    <w:p>
      <w:pPr>
        <w:pBdr>
          <w:bottom w:space="2"/>
        </w:pBdr>
        <w:spacing w:before="0" w:after="0"/>
        <w:ind w:left="120"/>
        <w:jc w:val="both"/>
      </w:pPr>
      <w:r>
        <w:rPr>
          <w:rFonts w:ascii="Times New Roman" w:hAnsi="Times New Roman"/>
          <w:b w:val="false"/>
          <w:i w:val="false"/>
          <w:color w:val="000000"/>
          <w:sz w:val="22"/>
        </w:rPr>
        <w:t xml:space="preserve"> December 4, 2013, effective date of ARC 1157C [amendments to ch 10] delayed 70 days by the Administrative Rules Review Committee at its meeting held November 8, 2013. At its meeting held December 10, 2013, the Committee lifted the delay, effective December 11, 2013.</w:t>
      </w:r>
    </w:p>
    <w:sectPr>
      <w:footerReference r:id="rId9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ac/rule/801.10.12.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801.10.2.pdf" Type="http://schemas.openxmlformats.org/officeDocument/2006/relationships/hyperlink" Id="rId8"/>
    <Relationship TargetMode="External" Target="http://ivh.iowa.gov" Type="http://schemas.openxmlformats.org/officeDocument/2006/relationships/hyperlink" Id="rId9"/>
    <Relationship TargetMode="External" Target="https://www.legis.iowa.gov/docs/iac/rule/801.10.3.pdf" Type="http://schemas.openxmlformats.org/officeDocument/2006/relationships/hyperlink" Id="rId10"/>
    <Relationship TargetMode="External" Target="https://www.legis.iowa.gov/docs/iac/rule/801.10.3.pdf" Type="http://schemas.openxmlformats.org/officeDocument/2006/relationships/hyperlink" Id="rId11"/>
    <Relationship TargetMode="External" Target="https://www.legis.iowa.gov/docs/iac/rule/801.10.3.pdf" Type="http://schemas.openxmlformats.org/officeDocument/2006/relationships/hyperlink" Id="rId12"/>
    <Relationship TargetMode="External" Target="https://www.legis.iowa.gov/docs/ico/chapter/135C.pdf" Type="http://schemas.openxmlformats.org/officeDocument/2006/relationships/hyperlink" Id="rId13"/>
    <Relationship TargetMode="External" Target="https://www.legis.iowa.gov/docs/iac/chapter/481.57.pdf" Type="http://schemas.openxmlformats.org/officeDocument/2006/relationships/hyperlink" Id="rId14"/>
    <Relationship TargetMode="External" Target="https://www.legis.iowa.gov/docs/iac/chapter/481.58.pdf" Type="http://schemas.openxmlformats.org/officeDocument/2006/relationships/hyperlink" Id="rId15"/>
    <Relationship TargetMode="External" Target="https://www.legis.iowa.gov/docs/iac/chapter/481.57.pdf" Type="http://schemas.openxmlformats.org/officeDocument/2006/relationships/hyperlink" Id="rId16"/>
    <Relationship TargetMode="External" Target="https://www.legis.iowa.gov/docs/iac/chapter/481.58.pdf" Type="http://schemas.openxmlformats.org/officeDocument/2006/relationships/hyperlink" Id="rId17"/>
    <Relationship TargetMode="External" Target="https://www.legis.iowa.gov/docs/ico/chapter/135C.24.pdf" Type="http://schemas.openxmlformats.org/officeDocument/2006/relationships/hyperlink" Id="rId18"/>
    <Relationship TargetMode="External" Target="https://www.legis.iowa.gov/docs/iac/rule/801.10.40.pdf" Type="http://schemas.openxmlformats.org/officeDocument/2006/relationships/hyperlink" Id="rId19"/>
    <Relationship TargetMode="External" Target="https://www.legis.iowa.gov/docs/iac/rule/801.10.14.pdf" Type="http://schemas.openxmlformats.org/officeDocument/2006/relationships/hyperlink" Id="rId20"/>
    <Relationship TargetMode="External" Target="https://www.legis.iowa.gov/docs/iac/rule/801.10.11.pdf" Type="http://schemas.openxmlformats.org/officeDocument/2006/relationships/hyperlink" Id="rId21"/>
    <Relationship TargetMode="External" Target="https://www.legis.iowa.gov/docs/iac/rule/801.10.14.pdf" Type="http://schemas.openxmlformats.org/officeDocument/2006/relationships/hyperlink" Id="rId22"/>
    <Relationship TargetMode="External" Target="https://www.legis.iowa.gov/docs/iac/rule/801.10.15.pdf" Type="http://schemas.openxmlformats.org/officeDocument/2006/relationships/hyperlink" Id="rId23"/>
    <Relationship TargetMode="External" Target="https://www.legis.iowa.gov/docs/iac/rule/801.10.15.pdf" Type="http://schemas.openxmlformats.org/officeDocument/2006/relationships/hyperlink" Id="rId24"/>
    <Relationship TargetMode="External" Target="https://www.legis.iowa.gov/docs/iac/rule/801.10.15.pdf" Type="http://schemas.openxmlformats.org/officeDocument/2006/relationships/hyperlink" Id="rId25"/>
    <Relationship TargetMode="External" Target="https://www.legis.iowa.gov/docs/iac/rule/801.10.15.pdf" Type="http://schemas.openxmlformats.org/officeDocument/2006/relationships/hyperlink" Id="rId26"/>
    <Relationship TargetMode="External" Target="https://www.legis.iowa.gov/docs/iac/rule/801.10.15.pdf" Type="http://schemas.openxmlformats.org/officeDocument/2006/relationships/hyperlink" Id="rId27"/>
    <Relationship TargetMode="External" Target="https://www.legis.iowa.gov/docs/iac/rule/801.10.15.pdf" Type="http://schemas.openxmlformats.org/officeDocument/2006/relationships/hyperlink" Id="rId28"/>
    <Relationship TargetMode="External" Target="https://www.legis.iowa.gov/docs/iac/rule/801.10.1.pdf" Type="http://schemas.openxmlformats.org/officeDocument/2006/relationships/hyperlink" Id="rId29"/>
    <Relationship TargetMode="External" Target="https://www.legis.iowa.gov/docs/iac/rule/801.10.14.pdf" Type="http://schemas.openxmlformats.org/officeDocument/2006/relationships/hyperlink" Id="rId30"/>
    <Relationship TargetMode="External" Target="https://www.legis.iowa.gov/docs/iac/rule/441.75.5.pdf" Type="http://schemas.openxmlformats.org/officeDocument/2006/relationships/hyperlink" Id="rId31"/>
    <Relationship TargetMode="External" Target="https://www.legis.iowa.gov/docs/iac/rule/801.10.16.pdf" Type="http://schemas.openxmlformats.org/officeDocument/2006/relationships/hyperlink" Id="rId32"/>
    <Relationship TargetMode="External" Target="https://www.legis.iowa.gov/docs/iac/rule/801.10.45.pdf" Type="http://schemas.openxmlformats.org/officeDocument/2006/relationships/hyperlink" Id="rId33"/>
    <Relationship TargetMode="External" Target="https://www.legis.iowa.gov/docs/iac/rule/801.10.14.pdf" Type="http://schemas.openxmlformats.org/officeDocument/2006/relationships/hyperlink" Id="rId34"/>
    <Relationship TargetMode="External" Target="https://www.legis.iowa.gov/docs/iac/rule/801.10.1.pdf" Type="http://schemas.openxmlformats.org/officeDocument/2006/relationships/hyperlink" Id="rId35"/>
    <Relationship TargetMode="External" Target="https://www.legis.iowa.gov/docs/iac/rule/801.10.17.pdf" Type="http://schemas.openxmlformats.org/officeDocument/2006/relationships/hyperlink" Id="rId36"/>
    <Relationship TargetMode="External" Target="https://www.legis.iowa.gov/docs/iac/rule/801.10.17.pdf" Type="http://schemas.openxmlformats.org/officeDocument/2006/relationships/hyperlink" Id="rId37"/>
    <Relationship TargetMode="External" Target="https://www.legis.iowa.gov/docs/iac/chapter/801.10.pdf" Type="http://schemas.openxmlformats.org/officeDocument/2006/relationships/hyperlink" Id="rId38"/>
    <Relationship TargetMode="External" Target="https://www.legis.iowa.gov/docs/iac/rule/801.10.1.pdf" Type="http://schemas.openxmlformats.org/officeDocument/2006/relationships/hyperlink" Id="rId39"/>
    <Relationship TargetMode="External" Target="https://www.legis.iowa.gov/docs/iac/rule/801.10.14.pdf" Type="http://schemas.openxmlformats.org/officeDocument/2006/relationships/hyperlink" Id="rId40"/>
    <Relationship TargetMode="External" Target="https://www.legis.iowa.gov/docs/iac/rule/441.75.5.pdf" Type="http://schemas.openxmlformats.org/officeDocument/2006/relationships/hyperlink" Id="rId41"/>
    <Relationship TargetMode="External" Target="https://www.legis.iowa.gov/docs/iac/rule/801.10.30.pdf" Type="http://schemas.openxmlformats.org/officeDocument/2006/relationships/hyperlink" Id="rId42"/>
    <Relationship TargetMode="External" Target="https://www.legis.iowa.gov/docs/iac/rule/801.10.16.pdf" Type="http://schemas.openxmlformats.org/officeDocument/2006/relationships/hyperlink" Id="rId43"/>
    <Relationship TargetMode="External" Target="https://www.legis.iowa.gov/docs/iac/rule/801.10.14.pdf" Type="http://schemas.openxmlformats.org/officeDocument/2006/relationships/hyperlink" Id="rId44"/>
    <Relationship TargetMode="External" Target="https://www.legis.iowa.gov/docs/iac/rule/801.10.19.pdf" Type="http://schemas.openxmlformats.org/officeDocument/2006/relationships/hyperlink" Id="rId45"/>
    <Relationship TargetMode="External" Target="https://www.legis.iowa.gov/docs/iac/rule/801.10.20.pdf" Type="http://schemas.openxmlformats.org/officeDocument/2006/relationships/hyperlink" Id="rId46"/>
    <Relationship TargetMode="External" Target="https://www.legis.iowa.gov/docs/iac/rule/801.10.16.pdf" Type="http://schemas.openxmlformats.org/officeDocument/2006/relationships/hyperlink" Id="rId47"/>
    <Relationship TargetMode="External" Target="https://www.legis.iowa.gov/docs/iac/rule/801.10.15.pdf" Type="http://schemas.openxmlformats.org/officeDocument/2006/relationships/hyperlink" Id="rId48"/>
    <Relationship TargetMode="External" Target="https://www.legis.iowa.gov/docs/iac/rule/801.10.15.pdf" Type="http://schemas.openxmlformats.org/officeDocument/2006/relationships/hyperlink" Id="rId49"/>
    <Relationship TargetMode="External" Target="https://www.legis.iowa.gov/docs/ico/chapter/35D.7.pdf" Type="http://schemas.openxmlformats.org/officeDocument/2006/relationships/hyperlink" Id="rId50"/>
    <Relationship TargetMode="External" Target="https://www.legis.iowa.gov/docs/iac/rule/801.10.19.pdf" Type="http://schemas.openxmlformats.org/officeDocument/2006/relationships/hyperlink" Id="rId51"/>
    <Relationship TargetMode="External" Target="https://www.legis.iowa.gov/docs/iac/rule/801.10.40.pdf" Type="http://schemas.openxmlformats.org/officeDocument/2006/relationships/hyperlink" Id="rId52"/>
    <Relationship TargetMode="External" Target="https://www.legis.iowa.gov/docs/ico/chapter/135C.24.pdf" Type="http://schemas.openxmlformats.org/officeDocument/2006/relationships/hyperlink" Id="rId53"/>
    <Relationship TargetMode="External" Target="https://www.legis.iowa.gov/docs/ico/chapter/35D.11.pdf" Type="http://schemas.openxmlformats.org/officeDocument/2006/relationships/hyperlink" Id="rId54"/>
    <Relationship TargetMode="External" Target="https://www.legis.iowa.gov/docs/ico/chapter/35D.12.pdf" Type="http://schemas.openxmlformats.org/officeDocument/2006/relationships/hyperlink" Id="rId55"/>
    <Relationship TargetMode="External" Target="https://www.legis.iowa.gov/docs/iac/rule/801.10.14.pdf" Type="http://schemas.openxmlformats.org/officeDocument/2006/relationships/hyperlink" Id="rId56"/>
    <Relationship TargetMode="External" Target="https://www.legis.iowa.gov/docs/iac/rule/801.10.36.pdf" Type="http://schemas.openxmlformats.org/officeDocument/2006/relationships/hyperlink" Id="rId57"/>
    <Relationship TargetMode="External" Target="https://www.legis.iowa.gov/docs/iac/rule/801.10.36.pdf" Type="http://schemas.openxmlformats.org/officeDocument/2006/relationships/hyperlink" Id="rId58"/>
    <Relationship TargetMode="External" Target="https://www.legis.iowa.gov/docs/iac/rule/801.10.12.pdf" Type="http://schemas.openxmlformats.org/officeDocument/2006/relationships/hyperlink" Id="rId59"/>
    <Relationship TargetMode="External" Target="https://www.legis.iowa.gov/docs/ico/chapter/135C.23.pdf" Type="http://schemas.openxmlformats.org/officeDocument/2006/relationships/hyperlink" Id="rId60"/>
    <Relationship TargetMode="External" Target="https://www.legis.iowa.gov/docs/iac/rule/801.10.12.pdf" Type="http://schemas.openxmlformats.org/officeDocument/2006/relationships/hyperlink" Id="rId61"/>
    <Relationship TargetMode="External" Target="https://www.legis.iowa.gov/docs/iac/rule/801.10.40.pdf" Type="http://schemas.openxmlformats.org/officeDocument/2006/relationships/hyperlink" Id="rId62"/>
    <Relationship TargetMode="External" Target="https://www.legis.iowa.gov/docs/iac/rule/801.10.35.pdf" Type="http://schemas.openxmlformats.org/officeDocument/2006/relationships/hyperlink" Id="rId63"/>
    <Relationship TargetMode="External" Target="https://www.legis.iowa.gov/docs/iac/rule/801.10.35.pdf" Type="http://schemas.openxmlformats.org/officeDocument/2006/relationships/hyperlink" Id="rId64"/>
    <Relationship TargetMode="External" Target="https://www.legis.iowa.gov/docs/iac/rule/801.10.40.pdf" Type="http://schemas.openxmlformats.org/officeDocument/2006/relationships/hyperlink" Id="rId65"/>
    <Relationship TargetMode="External" Target="https://www.legis.iowa.gov/docs/iac/rule/801.10.40.pdf" Type="http://schemas.openxmlformats.org/officeDocument/2006/relationships/hyperlink" Id="rId66"/>
    <Relationship TargetMode="External" Target="https://www.legis.iowa.gov/docs/iac/rule/801.10.40.pdf" Type="http://schemas.openxmlformats.org/officeDocument/2006/relationships/hyperlink" Id="rId67"/>
    <Relationship TargetMode="External" Target="https://www.legis.iowa.gov/docs/iac/rule/801.10.40.pdf" Type="http://schemas.openxmlformats.org/officeDocument/2006/relationships/hyperlink" Id="rId68"/>
    <Relationship TargetMode="External" Target="https://www.legis.iowa.gov/docs/ico/chapter/331.394.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rule/801.10.43.pdf" Type="http://schemas.openxmlformats.org/officeDocument/2006/relationships/hyperlink" Id="rId71"/>
    <Relationship TargetMode="External" Target="https://www.legis.iowa.gov/docs/iac/rule/801.10.43.pdf" Type="http://schemas.openxmlformats.org/officeDocument/2006/relationships/hyperlink" Id="rId72"/>
    <Relationship TargetMode="External" Target="https://www.legis.iowa.gov/docs/iac/rule/801.10.43.pdf" Type="http://schemas.openxmlformats.org/officeDocument/2006/relationships/hyperlink" Id="rId73"/>
    <Relationship TargetMode="External" Target="https://www.legis.iowa.gov/docs/iac/rule/801.10.43.pdf" Type="http://schemas.openxmlformats.org/officeDocument/2006/relationships/hyperlink" Id="rId74"/>
    <Relationship TargetMode="External" Target="https://www.legis.iowa.gov/docs/iac/rule/801.10.47.pdf" Type="http://schemas.openxmlformats.org/officeDocument/2006/relationships/hyperlink" Id="rId75"/>
    <Relationship TargetMode="External" Target="https://www.legis.iowa.gov/docs/iac/rule/801.10.47.pdf" Type="http://schemas.openxmlformats.org/officeDocument/2006/relationships/hyperlink" Id="rId76"/>
    <Relationship TargetMode="External" Target="https://www.legis.iowa.gov/docs/ico/chapter/35D.15.pdf" Type="http://schemas.openxmlformats.org/officeDocument/2006/relationships/hyperlink" Id="rId77"/>
    <Relationship TargetMode="External" Target="https://www.legis.iowa.gov/docs/iac/rule/801.10.46.pdf" Type="http://schemas.openxmlformats.org/officeDocument/2006/relationships/hyperlink" Id="rId78"/>
    <Relationship TargetMode="External" Target="https://www.legis.iowa.gov/docs/iac/rule/801.10.46.pdf" Type="http://schemas.openxmlformats.org/officeDocument/2006/relationships/hyperlink" Id="rId79"/>
    <Relationship TargetMode="External" Target="https://www.legis.iowa.gov/docs/iac/chapter/801.10.pdf" Type="http://schemas.openxmlformats.org/officeDocument/2006/relationships/hyperlink" Id="rId80"/>
    <Relationship TargetMode="External" Target="https://www.legis.iowa.gov/docs/iac/rule/801.10.46.pdf" Type="http://schemas.openxmlformats.org/officeDocument/2006/relationships/hyperlink" Id="rId81"/>
    <Relationship TargetMode="External" Target="https://www.legis.iowa.gov/docs/iac/rule/801.10.46.pdf" Type="http://schemas.openxmlformats.org/officeDocument/2006/relationships/hyperlink" Id="rId82"/>
    <Relationship TargetMode="External" Target="https://www.legis.iowa.gov/docs/iac/rule/801.10.46.pdf" Type="http://schemas.openxmlformats.org/officeDocument/2006/relationships/hyperlink" Id="rId83"/>
    <Relationship TargetMode="External" Target="https://www.legis.iowa.gov/docs/ico/chapter/17A.pdf" Type="http://schemas.openxmlformats.org/officeDocument/2006/relationships/hyperlink" Id="rId84"/>
    <Relationship TargetMode="External" Target="https://www.legis.iowa.gov/docs/iac/rule/801.10.45.pdf" Type="http://schemas.openxmlformats.org/officeDocument/2006/relationships/hyperlink" Id="rId85"/>
    <Relationship TargetMode="External" Target="https://www.legis.iowa.gov/docs/iac/rule/801.10.46.pdf" Type="http://schemas.openxmlformats.org/officeDocument/2006/relationships/hyperlink" Id="rId86"/>
    <Relationship TargetMode="External" Target="https://www.legis.iowa.gov/docs/ico/chapter/35A.3.pdf" Type="http://schemas.openxmlformats.org/officeDocument/2006/relationships/hyperlink" Id="rId87"/>
    <Relationship TargetMode="External" Target="https://www.legis.iowa.gov/docs/ico/chapter/35D.pdf" Type="http://schemas.openxmlformats.org/officeDocument/2006/relationships/hyperlink" Id="rId88"/>
    <Relationship TargetMode="External" Target="https://www.legis.iowa.gov/docs/iac/chapter/7.2506.pdf" Type="http://schemas.openxmlformats.org/officeDocument/2006/relationships/hyperlink" Id="rId89"/>
    <Relationship TargetMode="External" Target="https://www.legis.iowa.gov/docs/iac/chapter/7.2506.pdf" Type="http://schemas.openxmlformats.org/officeDocument/2006/relationships/hyperlink" Id="rId90"/>
    <Relationship TargetMode="External" Target="https://www.legis.iowa.gov/docs/ico/chapter/17A.pdf" Type="http://schemas.openxmlformats.org/officeDocument/2006/relationships/hyperlink" Id="rId91"/>
    <Relationship TargetMode="External" Target="https://www.legis.iowa.gov/docs/iac/rule/801.10.43.pdf" Type="http://schemas.openxmlformats.org/officeDocument/2006/relationships/hyperlink" Id="rId92"/>
    <Relationship TargetMode="External" Target="https://www.legis.iowa.gov/docs/ico/chapter/135C.pdf" Type="http://schemas.openxmlformats.org/officeDocument/2006/relationships/hyperlink" Id="rId93"/>
    <Relationship TargetMode="External" Target="https://www.legis.iowa.gov/docs/ico/chapter/35A.3.pdf" Type="http://schemas.openxmlformats.org/officeDocument/2006/relationships/hyperlink" Id="rId94"/>
    <Relationship TargetMode="External" Target="https://www.legis.iowa.gov/docs/ico/chapter/35D.pdf" Type="http://schemas.openxmlformats.org/officeDocument/2006/relationships/hyperlink" Id="rId95"/>
    <Relationship Target="footer.xml" Type="http://schemas.openxmlformats.org/officeDocument/2006/relationships/footer" Id="rId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