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PROCEDURES</w:t>
      </w:r>
    </w:p>
    <w:p>
      <w:pPr>
        <w:spacing w:before="0" w:after="0"/>
        <w:ind w:left="120"/>
        <w:jc w:val="center"/>
      </w:pPr>
      <w:r>
        <w:rPr>
          <w:rFonts w:ascii="Times New Roman" w:hAnsi="Times New Roman"/>
          <w:b w:val="false"/>
          <w:i w:val="false"/>
          <w:color w:val="000000"/>
          <w:sz w:val="20"/>
        </w:rPr>
        <w:t>[Prior to 6/21/91, see Veterans Affairs Department[841] Chs 1, 3, 5]</w:t>
      </w:r>
    </w:p>
    <w:p>
      <w:pPr>
        <w:spacing w:before="0" w:after="0"/>
        <w:ind w:left="120"/>
        <w:jc w:val="center"/>
      </w:pPr>
      <w:r>
        <w:rPr>
          <w:rFonts w:ascii="Times New Roman" w:hAnsi="Times New Roman"/>
          <w:b w:val="false"/>
          <w:i w:val="false"/>
          <w:color w:val="000000"/>
          <w:sz w:val="20"/>
        </w:rPr>
        <w:t>[Prior to 1/6/93, see Veterans Affairs Division[613] Chs 1, 3,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9/9/31</w:t>
      </w:r>
    </w:p>
    <w:p>
      <w:pPr>
        <w:spacing w:before="0" w:after="0"/>
        <w:ind w:left="120"/>
        <w:jc w:val="both"/>
      </w:pPr>
      <w:r>
        <w:rPr>
          <w:rFonts w:ascii="Times New Roman" w:hAnsi="Times New Roman"/>
          <w:b/>
          <w:i w:val="false"/>
          <w:color w:val="000000"/>
          <w:sz w:val="22"/>
        </w:rPr>
        <w:t>801—1.1</w:t>
      </w:r>
      <w:r>
        <w:rPr>
          <w:rFonts w:ascii="Times New Roman" w:hAnsi="Times New Roman"/>
          <w:b/>
          <w:i w:val="false"/>
          <w:color w:val="000000"/>
          <w:sz w:val="22"/>
        </w:rPr>
        <w:t xml:space="preserve">(35,35A,35D)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Unless otherwise provided for by law, the following definitions apply to </w:t>
      </w:r>
      <w:hyperlink r:id="rId5">
        <w:r>
          <w:rPr>
            <w:rStyle w:val="Hyperlink"/>
            <w:rFonts w:ascii="Times New Roman" w:hAnsi="Times New Roman"/>
            <w:b w:val="false"/>
            <w:i w:val="false"/>
            <w:color w:val="000000"/>
            <w:sz w:val="22"/>
          </w:rPr>
          <w:t>801—Chapters 1</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“Annual school of instruction”</w:t>
      </w:r>
      <w:r>
        <w:rPr>
          <w:rFonts w:ascii="Times New Roman" w:hAnsi="Times New Roman"/>
          <w:b w:val="false"/>
          <w:i w:val="false"/>
          <w:color w:val="000000"/>
          <w:sz w:val="22"/>
        </w:rPr>
        <w:t> </w:t>
      </w:r>
      <w:r>
        <w:rPr>
          <w:rFonts w:ascii="Times New Roman" w:hAnsi="Times New Roman"/>
          <w:b w:val="false"/>
          <w:i w:val="false"/>
          <w:color w:val="000000"/>
          <w:sz w:val="22"/>
        </w:rPr>
        <w:t>means annual classroom certification and recertification training sponsored by the department for county veterans service officers to meet accreditation requirements of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“Armed forces graves”</w:t>
      </w:r>
      <w:r>
        <w:rPr>
          <w:rFonts w:ascii="Times New Roman" w:hAnsi="Times New Roman"/>
          <w:b w:val="false"/>
          <w:i w:val="false"/>
          <w:color w:val="000000"/>
          <w:sz w:val="22"/>
        </w:rPr>
        <w:t> </w:t>
      </w:r>
      <w:r>
        <w:rPr>
          <w:rFonts w:ascii="Times New Roman" w:hAnsi="Times New Roman"/>
          <w:b w:val="false"/>
          <w:i w:val="false"/>
          <w:color w:val="000000"/>
          <w:sz w:val="22"/>
        </w:rPr>
        <w:t>means graves of any individuals who die during or after discharge from honorable service in the army, navy, air force, marines, merchant marines, coast guard, space force, or as a federally activated reservist or member of the national guard and are buried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“Cemetery”</w:t>
      </w:r>
      <w:r>
        <w:rPr>
          <w:rFonts w:ascii="Times New Roman" w:hAnsi="Times New Roman"/>
          <w:b w:val="false"/>
          <w:i w:val="false"/>
          <w:color w:val="000000"/>
          <w:sz w:val="22"/>
        </w:rPr>
        <w:t> </w:t>
      </w:r>
      <w:r>
        <w:rPr>
          <w:rFonts w:ascii="Times New Roman" w:hAnsi="Times New Roman"/>
          <w:b w:val="false"/>
          <w:i w:val="false"/>
          <w:color w:val="000000"/>
          <w:sz w:val="22"/>
        </w:rPr>
        <w:t>means the Iowa Veterans Cemetery.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“Chairperson”</w:t>
      </w:r>
      <w:r>
        <w:rPr>
          <w:rFonts w:ascii="Times New Roman" w:hAnsi="Times New Roman"/>
          <w:b w:val="false"/>
          <w:i w:val="false"/>
          <w:color w:val="000000"/>
          <w:sz w:val="22"/>
        </w:rPr>
        <w:t> </w:t>
      </w:r>
      <w:r>
        <w:rPr>
          <w:rFonts w:ascii="Times New Roman" w:hAnsi="Times New Roman"/>
          <w:b w:val="false"/>
          <w:i w:val="false"/>
          <w:color w:val="000000"/>
          <w:sz w:val="22"/>
        </w:rPr>
        <w:t>means the chairperson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“Commandant”</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Iowa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w:t>
      </w:r>
      <w:r>
        <w:rPr>
          <w:rFonts w:ascii="Times New Roman" w:hAnsi="Times New Roman"/>
          <w:b w:val="false"/>
          <w:i w:val="false"/>
          <w:color w:val="000000"/>
          <w:sz w:val="22"/>
        </w:rPr>
        <w:t> </w:t>
      </w:r>
      <w:r>
        <w:rPr>
          <w:rFonts w:ascii="Times New Roman" w:hAnsi="Times New Roman"/>
          <w:b w:val="false"/>
          <w:i w:val="false"/>
          <w:color w:val="000000"/>
          <w:sz w:val="22"/>
        </w:rPr>
        <w:t>means a member of the Iowa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commission”</w:t>
      </w:r>
      <w:r>
        <w:rPr>
          <w:rFonts w:ascii="Times New Roman" w:hAnsi="Times New Roman"/>
          <w:b w:val="false"/>
          <w:i w:val="false"/>
          <w:color w:val="000000"/>
          <w:sz w:val="22"/>
        </w:rPr>
        <w:t> </w:t>
      </w:r>
      <w:r>
        <w:rPr>
          <w:rFonts w:ascii="Times New Roman" w:hAnsi="Times New Roman"/>
          <w:b w:val="false"/>
          <w:i w:val="false"/>
          <w:color w:val="000000"/>
          <w:sz w:val="22"/>
        </w:rPr>
        <w:t>means a county commission of veteran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commissioner”</w:t>
      </w:r>
      <w:r>
        <w:rPr>
          <w:rFonts w:ascii="Times New Roman" w:hAnsi="Times New Roman"/>
          <w:b w:val="false"/>
          <w:i w:val="false"/>
          <w:color w:val="000000"/>
          <w:sz w:val="22"/>
        </w:rPr>
        <w:t> </w:t>
      </w:r>
      <w:r>
        <w:rPr>
          <w:rFonts w:ascii="Times New Roman" w:hAnsi="Times New Roman"/>
          <w:b w:val="false"/>
          <w:i w:val="false"/>
          <w:color w:val="000000"/>
          <w:sz w:val="22"/>
        </w:rPr>
        <w:t>means a member of a county commission of veteran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veterans service officer”</w:t>
      </w:r>
      <w:r>
        <w:rPr>
          <w:rFonts w:ascii="Times New Roman" w:hAnsi="Times New Roman"/>
          <w:b w:val="false"/>
          <w:i w:val="false"/>
          <w:color w:val="000000"/>
          <w:sz w:val="22"/>
        </w:rPr>
        <w:t> </w:t>
      </w:r>
      <w:r>
        <w:rPr>
          <w:rFonts w:ascii="Times New Roman" w:hAnsi="Times New Roman"/>
          <w:b w:val="false"/>
          <w:i w:val="false"/>
          <w:color w:val="000000"/>
          <w:sz w:val="22"/>
        </w:rPr>
        <w:t>means an executive director or administrator of a county commission of veteran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veterans affairs.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0468D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801—1.2</w:t>
      </w:r>
      <w:r>
        <w:rPr>
          <w:rFonts w:ascii="Times New Roman" w:hAnsi="Times New Roman"/>
          <w:b/>
          <w:i w:val="false"/>
          <w:color w:val="000000"/>
          <w:sz w:val="22"/>
        </w:rPr>
        <w:t xml:space="preserve">(35,35A,35D) </w:t>
      </w:r>
      <w:r>
        <w:rPr>
          <w:rFonts w:ascii="Times New Roman" w:hAnsi="Times New Roman"/>
          <w:b/>
          <w:i w:val="false"/>
          <w:color w:val="000000"/>
          <w:sz w:val="22"/>
        </w:rPr>
        <w:t xml:space="preserve">Commission. </w:t>
      </w:r>
      <w:r>
        <w:rPr>
          <w:rFonts w:ascii="Times New Roman" w:hAnsi="Times New Roman"/>
          <w:b w:val="false"/>
          <w:i w:val="false"/>
          <w:color w:val="000000"/>
          <w:sz w:val="22"/>
        </w:rPr>
        <w:t xml:space="preserve">The commission is established and operates in accordance with Iowa Code chapter </w:t>
      </w:r>
      <w:hyperlink r:id="rId7">
        <w:r>
          <w:rPr>
            <w:rStyle w:val="Hyperlink"/>
            <w:rFonts w:ascii="Times New Roman" w:hAnsi="Times New Roman"/>
            <w:b w:val="false"/>
            <w:i w:val="false"/>
            <w:color w:val="000000"/>
            <w:sz w:val="22"/>
          </w:rPr>
          <w:t>35A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w:t>
      </w:r>
      <w:r>
        <w:rPr>
          <w:rFonts w:ascii="Times New Roman" w:hAnsi="Times New Roman"/>
          <w:b w:val="false"/>
          <w:i w:val="false"/>
          <w:color w:val="000000"/>
          <w:sz w:val="22"/>
        </w:rPr>
        <w:t>The commission maintains its office at the Iowa Department of Veterans Affairs at Camp Dodge. The mailing address is: Iowa Commission of Veterans Affairs, c/o Camp Dodge, Building 3465, 7105 NW 70th Avenue, Johnston, Iowa 50131-1824. The telephone number is 515.252.4698 or 1.800.838.4692 (1.800.VET.IOWA).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Meetings and conduct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Meetings. Regular meetings of the commission are held four times a year during the months of January, April, July, and October at 10 a.m. Written notices stating the time and place of the meetings shall be provided consistent with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Special meetings may be held pursuant to call by the chairperson. Notice of time and place is posted in the same manner as a regular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quorum consists of two-thirds of the membership appointed and qualified to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quorum is needed to carry a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Copies of minutes are kept on file in the office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cases not covered by these rules, Robert’s Rules of Order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In addition to duties prescribed by law, the commission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Organize and annually select a chairperson, a senior vice-chairperson and a junior vice-chairperson at the first meeting of each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Supervise the commandant’s administration of commission policy for the operation and conduct of the Iowa Veterans Home as set out in rule </w:t>
      </w:r>
      <w:hyperlink r:id="rId9">
        <w:r>
          <w:rPr>
            <w:rStyle w:val="Hyperlink"/>
            <w:rFonts w:ascii="Times New Roman" w:hAnsi="Times New Roman"/>
            <w:b w:val="false"/>
            <w:i w:val="false"/>
            <w:color w:val="000000"/>
            <w:sz w:val="22"/>
          </w:rPr>
          <w:t>801—1.4</w:t>
        </w:r>
      </w:hyperlink>
      <w:r>
        <w:rPr>
          <w:rFonts w:ascii="Times New Roman" w:hAnsi="Times New Roman"/>
          <w:b w:val="false"/>
          <w:i w:val="false"/>
          <w:color w:val="000000"/>
          <w:sz w:val="22"/>
        </w:rPr>
        <w:t xml:space="preserve">(35A,35D) and </w:t>
      </w:r>
      <w:hyperlink r:id="rId10">
        <w:r>
          <w:rPr>
            <w:rStyle w:val="Hyperlink"/>
            <w:rFonts w:ascii="Times New Roman" w:hAnsi="Times New Roman"/>
            <w:b w:val="false"/>
            <w:i w:val="false"/>
            <w:color w:val="000000"/>
            <w:sz w:val="22"/>
          </w:rPr>
          <w:t>801—Chapter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proposed administrative rules submitted by the department concerning the management and operation of the department. Unless the commission votes to disapprove a proposed rule on a two-thirds vote at the earlier of the next regularly scheduled meeting of the commission or a special meeting of the commission called by the commission within 30 days of the date the proposed rule is submitted, the department may proceed to adopt the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0468D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801—1.3</w:t>
      </w:r>
      <w:r>
        <w:rPr>
          <w:rFonts w:ascii="Times New Roman" w:hAnsi="Times New Roman"/>
          <w:b/>
          <w:i w:val="false"/>
          <w:color w:val="000000"/>
          <w:sz w:val="22"/>
        </w:rPr>
        <w:t xml:space="preserve">(35,35A) </w:t>
      </w:r>
      <w:r>
        <w:rPr>
          <w:rFonts w:ascii="Times New Roman" w:hAnsi="Times New Roman"/>
          <w:b/>
          <w:i w:val="false"/>
          <w:color w:val="000000"/>
          <w:sz w:val="22"/>
        </w:rPr>
        <w:t xml:space="preserve">Commandant. </w:t>
      </w:r>
      <w:r>
        <w:rPr>
          <w:rFonts w:ascii="Times New Roman" w:hAnsi="Times New Roman"/>
          <w:b w:val="false"/>
          <w:i w:val="false"/>
          <w:color w:val="000000"/>
          <w:sz w:val="22"/>
        </w:rPr>
        <w:t>The commandant is responsible for administering the duties and enforcing the policies of the department, the commission, and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and hours. </w:t>
      </w:r>
      <w:r>
        <w:rPr>
          <w:rFonts w:ascii="Times New Roman" w:hAnsi="Times New Roman"/>
          <w:b w:val="false"/>
          <w:i w:val="false"/>
          <w:color w:val="000000"/>
          <w:sz w:val="22"/>
        </w:rPr>
        <w:t>The office of the commandant is located at Camp Dodge, Building 3465, 7105 NW 70th Avenue, Johnston, Iowa 50131-1824. The office is open to the public during the hours of 8 a.m. to 4:30 p.m., except Saturday, Sunday, and holidays. The telephone number is 515.252.4698 or 1.800.838.4692 (1.800.VET.IOWA).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staff. </w:t>
      </w:r>
      <w:r>
        <w:rPr>
          <w:rFonts w:ascii="Times New Roman" w:hAnsi="Times New Roman"/>
          <w:b w:val="false"/>
          <w:i w:val="false"/>
          <w:color w:val="000000"/>
          <w:sz w:val="22"/>
        </w:rPr>
        <w:t>The commandant provides direction to administrative staff employed by the department to assist the commandant in carrying out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applications. </w:t>
      </w:r>
      <w:r>
        <w:rPr>
          <w:rFonts w:ascii="Times New Roman" w:hAnsi="Times New Roman"/>
          <w:b w:val="false"/>
          <w:i w:val="false"/>
          <w:color w:val="000000"/>
          <w:sz w:val="22"/>
        </w:rPr>
        <w:t xml:space="preserve">The commandant examines all applications and approves or disapproves the same and makes any investigation necessary to establish facts regarding veterans service status and veterans affairs data in accordance with Iowa Code chapters </w:t>
      </w:r>
      <w:hyperlink r:id="rId11">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In addition to duties prescribed by law,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Ensures county commissions comply with required office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Collects and maintains information concerning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Assists the United States Department of Veterans Affairs, the Iowa Veterans Home, funeral directors, and federally chartered veterans service organizations in providing information concerning veterans’ service records and veterans affairs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Administers or conducts one school for training of county veterans service officers and another for county commissioners of veteran affairs pursuant to Iowa Code section </w:t>
      </w:r>
      <w:hyperlink r:id="rId13">
        <w:r>
          <w:rPr>
            <w:rStyle w:val="Hyperlink"/>
            <w:rFonts w:ascii="Times New Roman" w:hAnsi="Times New Roman"/>
            <w:b w:val="false"/>
            <w:i w:val="false"/>
            <w:color w:val="000000"/>
            <w:sz w:val="22"/>
          </w:rPr>
          <w:t>35A.5(6)</w:t>
        </w:r>
      </w:hyperlink>
      <w:r>
        <w:rPr>
          <w:rFonts w:ascii="Times New Roman" w:hAnsi="Times New Roman"/>
          <w:b w:val="false"/>
          <w:i w:val="false"/>
          <w:color w:val="000000"/>
          <w:sz w:val="22"/>
        </w:rPr>
        <w:t>. At the discretion of the commandant, training for newly appointed county veterans service officers may also be conducted. Training provided for veterans service officers includes accrediting courses, as well as other subjects, at the discretion of the commandant, who certifies satisfactory completion. The training shall ensure that each county veterans service officer is proficient in the use of electronic mail, general computer use, and use of the Internet to access information regarding facilities, benefits, and services available to veterans and their families.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0468D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801—1.4</w:t>
      </w:r>
      <w:r>
        <w:rPr>
          <w:rFonts w:ascii="Times New Roman" w:hAnsi="Times New Roman"/>
          <w:b/>
          <w:i w:val="false"/>
          <w:color w:val="000000"/>
          <w:sz w:val="22"/>
        </w:rPr>
        <w:t xml:space="preserve">(35A) </w:t>
      </w:r>
      <w:r>
        <w:rPr>
          <w:rFonts w:ascii="Times New Roman" w:hAnsi="Times New Roman"/>
          <w:b/>
          <w:i w:val="false"/>
          <w:color w:val="000000"/>
          <w:sz w:val="22"/>
        </w:rPr>
        <w:t xml:space="preserve">Iowa Veterans Cemetery. </w:t>
      </w:r>
      <w:r>
        <w:rPr>
          <w:rFonts w:ascii="Times New Roman" w:hAnsi="Times New Roman"/>
          <w:b w:val="false"/>
          <w:i w:val="false"/>
          <w:color w:val="000000"/>
          <w:sz w:val="22"/>
        </w:rPr>
        <w:t>The department operates and administers the Iowa Veterans Cemetery in accordance with United States Department of Veterans Affairs’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Operation and maintenance. </w:t>
      </w:r>
      <w:r>
        <w:rPr>
          <w:rFonts w:ascii="Times New Roman" w:hAnsi="Times New Roman"/>
          <w:b w:val="false"/>
          <w:i w:val="false"/>
          <w:color w:val="000000"/>
          <w:sz w:val="22"/>
        </w:rPr>
        <w:t xml:space="preserve">The cemetery shall be operated and maintained in accordance with national standards set forth in </w:t>
      </w:r>
      <w:r>
        <w:rPr>
          <w:rFonts w:ascii="Times New Roman" w:hAnsi="Times New Roman"/>
          <w:b w:val="false"/>
          <w:i w:val="false"/>
          <w:color w:val="000000"/>
          <w:sz w:val="22"/>
        </w:rPr>
        <w:t>38 U.S.C. 24</w:t>
      </w:r>
      <w:r>
        <w:rPr>
          <w:rFonts w:ascii="Times New Roman" w:hAnsi="Times New Roman"/>
          <w:b w:val="false"/>
          <w:i w:val="false"/>
          <w:color w:val="000000"/>
          <w:sz w:val="22"/>
        </w:rPr>
        <w:t> as effective on September 9,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interment. </w:t>
      </w:r>
      <w:r>
        <w:rPr>
          <w:rFonts w:ascii="Times New Roman" w:hAnsi="Times New Roman"/>
          <w:b w:val="false"/>
          <w:i w:val="false"/>
          <w:color w:val="000000"/>
          <w:sz w:val="22"/>
        </w:rPr>
        <w:t xml:space="preserve">The department shall provide veterans and their eligible dependents with a standardized application for interment at the cemetery. This application is available at the Iowa Veterans Cemetery, 34024 Veterans Memorial Drive, Adel, Iowa 50003-3300; the Iowa Department of Veterans Affairs, 7105 NW 70th Avenue, Camp Dodge, Building 3465, Johnston, Iowa 50131-1824; or online at </w:t>
      </w:r>
      <w:hyperlink r:id="rId14">
        <w:r>
          <w:rPr>
            <w:rStyle w:val="Hyperlink"/>
            <w:rFonts w:ascii="Times New Roman" w:hAnsi="Times New Roman"/>
            <w:b w:val="false"/>
            <w:i w:val="false"/>
            <w:color w:val="000000"/>
            <w:sz w:val="22"/>
            <w:u w:val="single"/>
          </w:rPr>
          <w:t>dva.iowa.gov/iowa-veterans-cemetery</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The department makes eligibility for interment determinations consistent with </w:t>
      </w:r>
      <w:r>
        <w:rPr>
          <w:rFonts w:ascii="Times New Roman" w:hAnsi="Times New Roman"/>
          <w:b w:val="false"/>
          <w:i w:val="false"/>
          <w:color w:val="000000"/>
          <w:sz w:val="22"/>
        </w:rPr>
        <w:t>38 U.S.C. 24</w:t>
      </w:r>
      <w:r>
        <w:rPr>
          <w:rFonts w:ascii="Times New Roman" w:hAnsi="Times New Roman"/>
          <w:b w:val="false"/>
          <w:i w:val="false"/>
          <w:color w:val="000000"/>
          <w:sz w:val="22"/>
        </w:rPr>
        <w:t> as effective on September 9, 2026. State residency is not a component of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0468D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801—1.5</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ARMED FORCES GRAVES REGISTRATION</w:t>
      </w:r>
    </w:p>
    <w:p>
      <w:pPr>
        <w:spacing w:before="0" w:after="0"/>
        <w:ind w:left="120"/>
        <w:jc w:val="both"/>
      </w:pPr>
      <w:r>
        <w:rPr>
          <w:rFonts w:ascii="Times New Roman" w:hAnsi="Times New Roman"/>
          <w:b/>
          <w:i w:val="false"/>
          <w:color w:val="000000"/>
          <w:sz w:val="22"/>
        </w:rPr>
        <w:t>801—1.6</w:t>
      </w:r>
      <w:r>
        <w:rPr>
          <w:rFonts w:ascii="Times New Roman" w:hAnsi="Times New Roman"/>
          <w:b/>
          <w:i w:val="false"/>
          <w:color w:val="000000"/>
          <w:sz w:val="22"/>
        </w:rPr>
        <w:t xml:space="preserve">(35A,35B) </w:t>
      </w:r>
      <w:r>
        <w:rPr>
          <w:rFonts w:ascii="Times New Roman" w:hAnsi="Times New Roman"/>
          <w:b/>
          <w:i w:val="false"/>
          <w:color w:val="000000"/>
          <w:sz w:val="22"/>
        </w:rPr>
        <w:t xml:space="preserve">Armed forces graves registration. </w:t>
      </w:r>
      <w:r>
        <w:rPr>
          <w:rFonts w:ascii="Times New Roman" w:hAnsi="Times New Roman"/>
          <w:b w:val="false"/>
          <w:i w:val="false"/>
          <w:color w:val="000000"/>
          <w:sz w:val="22"/>
        </w:rPr>
        <w:t>Armed forces graves registration shall be completed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Duties of the funeral director. </w:t>
      </w:r>
      <w:r>
        <w:rPr>
          <w:rFonts w:ascii="Times New Roman" w:hAnsi="Times New Roman"/>
          <w:b w:val="false"/>
          <w:i w:val="false"/>
          <w:color w:val="000000"/>
          <w:sz w:val="22"/>
        </w:rPr>
        <w:t>The funeral director who contracts to inter the deceased veteran shall complete Armed Forces Graves Registration Record, Form 582-1002, in duplicate, forwarding the original and copy to the county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Duties of the county commission. </w:t>
      </w:r>
      <w:r>
        <w:rPr>
          <w:rFonts w:ascii="Times New Roman" w:hAnsi="Times New Roman"/>
          <w:b w:val="false"/>
          <w:i w:val="false"/>
          <w:color w:val="000000"/>
          <w:sz w:val="22"/>
        </w:rPr>
        <w:t xml:space="preserve">The county commission records the information alphabetically, and by description of location in the cemetery where the veteran is buried, in a book or other manner prescribed by the commission and kept for that purpose in the office of the county commission. The county commission forwards the original Armed Forces Graves Registration Record to the commandant at the address provided in subrule </w:t>
      </w:r>
      <w:hyperlink r:id="rId15">
        <w:r>
          <w:rPr>
            <w:rStyle w:val="Hyperlink"/>
            <w:rFonts w:ascii="Times New Roman" w:hAnsi="Times New Roman"/>
            <w:b w:val="false"/>
            <w:i w:val="false"/>
            <w:color w:val="000000"/>
            <w:sz w:val="22"/>
          </w:rPr>
          <w:t>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Where filed. </w:t>
      </w:r>
      <w:r>
        <w:rPr>
          <w:rFonts w:ascii="Times New Roman" w:hAnsi="Times New Roman"/>
          <w:b w:val="false"/>
          <w:i w:val="false"/>
          <w:color w:val="000000"/>
          <w:sz w:val="22"/>
        </w:rPr>
        <w:t>The original Armed Forces Graves Registration Record is filed at the office of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Additional Armed Forces Graves Registration Record forms may be obtained by contacting the commandant’s office in accordance with subrule </w:t>
      </w:r>
      <w:hyperlink r:id="rId16">
        <w:r>
          <w:rPr>
            <w:rStyle w:val="Hyperlink"/>
            <w:rFonts w:ascii="Times New Roman" w:hAnsi="Times New Roman"/>
            <w:b w:val="false"/>
            <w:i w:val="false"/>
            <w:color w:val="000000"/>
            <w:sz w:val="22"/>
          </w:rPr>
          <w:t>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35A.5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35B.19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0468D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FINAL AGENCY ACTION</w:t>
      </w:r>
    </w:p>
    <w:p>
      <w:pPr>
        <w:spacing w:before="0" w:after="0"/>
        <w:ind w:left="120"/>
        <w:jc w:val="both"/>
      </w:pPr>
      <w:r>
        <w:rPr>
          <w:rFonts w:ascii="Times New Roman" w:hAnsi="Times New Roman"/>
          <w:b/>
          <w:i w:val="false"/>
          <w:color w:val="000000"/>
          <w:sz w:val="22"/>
        </w:rPr>
        <w:t>801—1.7</w:t>
      </w:r>
      <w:r>
        <w:rPr>
          <w:rFonts w:ascii="Times New Roman" w:hAnsi="Times New Roman"/>
          <w:b/>
          <w:i w:val="false"/>
          <w:color w:val="000000"/>
          <w:sz w:val="22"/>
        </w:rPr>
        <w:t xml:space="preserve">(17A,35,35A) </w:t>
      </w:r>
      <w:r>
        <w:rPr>
          <w:rFonts w:ascii="Times New Roman" w:hAnsi="Times New Roman"/>
          <w:b/>
          <w:i w:val="false"/>
          <w:color w:val="000000"/>
          <w:sz w:val="22"/>
        </w:rPr>
        <w:t xml:space="preserve">Final agency action. </w:t>
      </w:r>
      <w:r>
        <w:rPr>
          <w:rFonts w:ascii="Times New Roman" w:hAnsi="Times New Roman"/>
          <w:b w:val="false"/>
          <w:i w:val="false"/>
          <w:color w:val="000000"/>
          <w:sz w:val="22"/>
        </w:rPr>
        <w:t xml:space="preserve">Except as otherwise provided by law or by rule, and to the extent consistent with due process, any decision of the commission or the department affecting the rights, privileges, or entitlements of any person as provided in </w:t>
      </w:r>
      <w:hyperlink r:id="rId19">
        <w:r>
          <w:rPr>
            <w:rStyle w:val="Hyperlink"/>
            <w:rFonts w:ascii="Times New Roman" w:hAnsi="Times New Roman"/>
            <w:b w:val="false"/>
            <w:i w:val="false"/>
            <w:color w:val="000000"/>
            <w:sz w:val="22"/>
          </w:rPr>
          <w:t>801—Chapters 1</w:t>
        </w:r>
      </w:hyperlink>
      <w:r>
        <w:rPr>
          <w:rFonts w:ascii="Times New Roman" w:hAnsi="Times New Roman"/>
          <w:b w:val="false"/>
          <w:i w:val="false"/>
          <w:color w:val="000000"/>
          <w:sz w:val="22"/>
        </w:rPr>
        <w:t xml:space="preserve"> through </w:t>
      </w:r>
      <w:hyperlink r:id="rId20">
        <w:r>
          <w:rPr>
            <w:rStyle w:val="Hyperlink"/>
            <w:rFonts w:ascii="Times New Roman" w:hAnsi="Times New Roman"/>
            <w:b w:val="false"/>
            <w:i w:val="false"/>
            <w:color w:val="000000"/>
            <w:sz w:val="22"/>
          </w:rPr>
          <w:t>17</w:t>
        </w:r>
      </w:hyperlink>
      <w:r>
        <w:rPr>
          <w:rFonts w:ascii="Times New Roman" w:hAnsi="Times New Roman"/>
          <w:b w:val="false"/>
          <w:i w:val="false"/>
          <w:color w:val="000000"/>
          <w:sz w:val="22"/>
        </w:rPr>
        <w:t xml:space="preserve"> constitutes final agency action. Any person aggrieved by such final agency action may pursue judicial review pursuant to Iowa Code section </w:t>
      </w:r>
      <w:hyperlink r:id="rId2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0468D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35A</w:t>
        </w:r>
      </w:hyperlink>
      <w:r>
        <w:rPr>
          <w:rFonts w:ascii="Times New Roman" w:hAnsi="Times New Roman"/>
          <w:b w:val="false"/>
          <w:i w:val="false"/>
          <w:color w:val="000000"/>
          <w:sz w:val="22"/>
        </w:rPr>
        <w:t xml:space="preserve"> and sections </w:t>
      </w:r>
      <w:hyperlink r:id="rId24">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35B.11</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35D.1</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35D.17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5/10/79, Notice 3/7/79—published 5/30/79, effective 7/5/79]</w:t>
      </w:r>
    </w:p>
    <w:p>
      <w:pPr>
        <w:spacing w:before="0" w:after="0"/>
        <w:ind w:left="120"/>
        <w:jc w:val="center"/>
      </w:pPr>
      <w:r>
        <w:rPr>
          <w:rFonts w:ascii="Times New Roman" w:hAnsi="Times New Roman"/>
          <w:b w:val="false"/>
          <w:i w:val="false"/>
          <w:color w:val="000000"/>
          <w:sz w:val="21"/>
        </w:rPr>
        <w:t>[Filed emergency 6/19/79—published 7/11/79, effective 8/8/79]</w:t>
      </w:r>
    </w:p>
    <w:p>
      <w:pPr>
        <w:spacing w:before="0" w:after="0"/>
        <w:ind w:left="120"/>
        <w:jc w:val="center"/>
      </w:pPr>
      <w:r>
        <w:rPr>
          <w:rFonts w:ascii="Times New Roman" w:hAnsi="Times New Roman"/>
          <w:b w:val="false"/>
          <w:i w:val="false"/>
          <w:color w:val="000000"/>
          <w:sz w:val="21"/>
        </w:rPr>
        <w:t>[Filed emergency 8/5/91—published 8/21/91, effective 8/21/91]</w:t>
      </w:r>
    </w:p>
    <w:p>
      <w:pPr>
        <w:spacing w:before="0" w:after="0"/>
        <w:ind w:left="120"/>
        <w:jc w:val="center"/>
      </w:pPr>
      <w:r>
        <w:rPr>
          <w:rFonts w:ascii="Times New Roman" w:hAnsi="Times New Roman"/>
          <w:b w:val="false"/>
          <w:i w:val="false"/>
          <w:color w:val="000000"/>
          <w:sz w:val="21"/>
        </w:rPr>
        <w:t>[Filed emergency 12/18/92—published 1/6/93, effective 1/1/93]</w:t>
      </w:r>
    </w:p>
    <w:p>
      <w:pPr>
        <w:spacing w:before="0" w:after="0"/>
        <w:ind w:left="120"/>
        <w:jc w:val="center"/>
      </w:pPr>
      <w:r>
        <w:rPr>
          <w:rFonts w:ascii="Times New Roman" w:hAnsi="Times New Roman"/>
          <w:b w:val="false"/>
          <w:i w:val="false"/>
          <w:color w:val="000000"/>
          <w:sz w:val="21"/>
        </w:rPr>
        <w:t>[Filed 12/19/96, Notice 10/23/96—published 1/15/97, effective 2/19/97]</w:t>
      </w:r>
    </w:p>
    <w:p>
      <w:pPr>
        <w:spacing w:before="0" w:after="0"/>
        <w:ind w:left="120"/>
        <w:jc w:val="center"/>
      </w:pPr>
      <w:r>
        <w:rPr>
          <w:rFonts w:ascii="Times New Roman" w:hAnsi="Times New Roman"/>
          <w:b w:val="false"/>
          <w:i w:val="false"/>
          <w:color w:val="000000"/>
          <w:sz w:val="21"/>
        </w:rPr>
        <w:t>[Filed 7/24/98, Notice 1/28/98—published 8/12/98, effective 9/16/98]</w:t>
      </w:r>
    </w:p>
    <w:p>
      <w:pPr>
        <w:spacing w:before="0" w:after="0"/>
        <w:ind w:left="120"/>
        <w:jc w:val="center"/>
      </w:pPr>
      <w:r>
        <w:rPr>
          <w:rFonts w:ascii="Times New Roman" w:hAnsi="Times New Roman"/>
          <w:b w:val="false"/>
          <w:i w:val="false"/>
          <w:color w:val="000000"/>
          <w:sz w:val="21"/>
        </w:rPr>
        <w:t>[Filed emergency 12/3/99—published 12/29/99, effective 12/3/99]</w:t>
      </w:r>
    </w:p>
    <w:p>
      <w:pPr>
        <w:spacing w:before="0" w:after="0"/>
        <w:ind w:left="120"/>
        <w:jc w:val="center"/>
      </w:pPr>
      <w:r>
        <w:rPr>
          <w:rFonts w:ascii="Times New Roman" w:hAnsi="Times New Roman"/>
          <w:b w:val="false"/>
          <w:i w:val="false"/>
          <w:color w:val="000000"/>
          <w:sz w:val="21"/>
        </w:rPr>
        <w:t>[Filed emergency 1/29/07—published 2/28/07, effective 1/29/07]</w:t>
      </w:r>
    </w:p>
    <w:p>
      <w:pPr>
        <w:spacing w:before="0" w:after="0"/>
        <w:ind w:left="120"/>
        <w:jc w:val="center"/>
      </w:pPr>
      <w:r>
        <w:rPr>
          <w:rFonts w:ascii="Times New Roman" w:hAnsi="Times New Roman"/>
          <w:b w:val="false"/>
          <w:i w:val="false"/>
          <w:color w:val="000000"/>
          <w:sz w:val="21"/>
        </w:rPr>
        <w:t>[Filed ARC 7825B</w:t>
      </w:r>
      <w:r>
        <w:rPr>
          <w:rFonts w:ascii="Times New Roman" w:hAnsi="Times New Roman"/>
          <w:b w:val="false"/>
          <w:i w:val="false"/>
          <w:color w:val="000000"/>
          <w:sz w:val="21"/>
        </w:rPr>
        <w:t xml:space="preserve"> (Notice ARC 7659B, IAB 3/25/09)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[Editorial change: IAC Supplement 11/26/14]</w:t>
      </w:r>
    </w:p>
    <w:p>
      <w:pPr>
        <w:spacing w:before="0" w:after="0"/>
        <w:ind w:left="120"/>
        <w:jc w:val="center"/>
      </w:pPr>
      <w:r>
        <w:rPr>
          <w:rFonts w:ascii="Times New Roman" w:hAnsi="Times New Roman"/>
          <w:b w:val="false"/>
          <w:i w:val="false"/>
          <w:color w:val="000000"/>
          <w:sz w:val="21"/>
        </w:rPr>
        <w:t>[Editorial change: IAC Supplement 12/24/14]</w:t>
      </w:r>
    </w:p>
    <w:p>
      <w:pPr>
        <w:spacing w:before="0" w:after="0"/>
        <w:ind w:left="120"/>
        <w:jc w:val="center"/>
      </w:pPr>
      <w:r>
        <w:rPr>
          <w:rFonts w:ascii="Times New Roman" w:hAnsi="Times New Roman"/>
          <w:b w:val="false"/>
          <w:i w:val="false"/>
          <w:color w:val="000000"/>
          <w:sz w:val="21"/>
        </w:rPr>
        <w:t>[Filed ARC 9183C</w:t>
      </w:r>
      <w:r>
        <w:rPr>
          <w:rFonts w:ascii="Times New Roman" w:hAnsi="Times New Roman"/>
          <w:b w:val="false"/>
          <w:i w:val="false"/>
          <w:color w:val="000000"/>
          <w:sz w:val="21"/>
        </w:rPr>
        <w:t xml:space="preserve"> (Notice ARC 8583C, IAB 12/25/24)</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[Filed ARC 0468D</w:t>
      </w:r>
      <w:r>
        <w:rPr>
          <w:rFonts w:ascii="Times New Roman" w:hAnsi="Times New Roman"/>
          <w:b w:val="false"/>
          <w:i w:val="false"/>
          <w:color w:val="000000"/>
          <w:sz w:val="21"/>
        </w:rPr>
        <w:t xml:space="preserve"> (Amended Notice ARC 0331D, IAB 6/10/26; </w:t>
      </w:r>
      <w:r>
        <w:rPr>
          <w:rFonts w:ascii="Times New Roman" w:hAnsi="Times New Roman"/>
          <w:b w:val="false"/>
          <w:i w:val="false"/>
          <w:color w:val="000000"/>
          <w:sz w:val="21"/>
        </w:rPr>
        <w:t>Notice ARC 0192D, IAB 4/15/26)</w:t>
      </w:r>
      <w:r>
        <w:rPr>
          <w:rFonts w:ascii="Times New Roman" w:hAnsi="Times New Roman"/>
          <w:b w:val="false"/>
          <w:i w:val="false"/>
          <w:color w:val="000000"/>
          <w:sz w:val="21"/>
        </w:rPr>
        <w:t>, IAB 8/5/26, effective 9/9/26]</w:t>
      </w:r>
    </w:p>
    <w:sectPr>
      <w:footerReference r:id="rId2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01.1.pdf" Type="http://schemas.openxmlformats.org/officeDocument/2006/relationships/hyperlink" Id="rId5"/>
    <Relationship TargetMode="External" Target="https://www.legis.iowa.gov/docs/iac/chapter/801.17.pdf" Type="http://schemas.openxmlformats.org/officeDocument/2006/relationships/hyperlink" Id="rId6"/>
    <Relationship TargetMode="External" Target="https://www.legis.iowa.gov/docs/ico/chapter/35A.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ac/rule/801.1.4.pdf" Type="http://schemas.openxmlformats.org/officeDocument/2006/relationships/hyperlink" Id="rId9"/>
    <Relationship TargetMode="External" Target="https://www.legis.iowa.gov/docs/iac/chapter/801.10.pdf" Type="http://schemas.openxmlformats.org/officeDocument/2006/relationships/hyperlink" Id="rId10"/>
    <Relationship TargetMode="External" Target="https://www.legis.iowa.gov/docs/ico/chapter/35.pdf" Type="http://schemas.openxmlformats.org/officeDocument/2006/relationships/hyperlink" Id="rId11"/>
    <Relationship TargetMode="External" Target="https://www.legis.iowa.gov/docs/ico/chapter/35A.pdf" Type="http://schemas.openxmlformats.org/officeDocument/2006/relationships/hyperlink" Id="rId12"/>
    <Relationship TargetMode="External" Target="https://www.legis.iowa.gov/docs/ico/chapter/35A.5.pdf" Type="http://schemas.openxmlformats.org/officeDocument/2006/relationships/hyperlink" Id="rId13"/>
    <Relationship TargetMode="External" Target="http://dva.iowa.gov/iowa-veterans-cemetery" Type="http://schemas.openxmlformats.org/officeDocument/2006/relationships/hyperlink" Id="rId14"/>
    <Relationship TargetMode="External" Target="https://www.legis.iowa.gov/docs/iac/rule/801.1.3.pdf" Type="http://schemas.openxmlformats.org/officeDocument/2006/relationships/hyperlink" Id="rId15"/>
    <Relationship TargetMode="External" Target="https://www.legis.iowa.gov/docs/iac/rule/801.1.3.pdf" Type="http://schemas.openxmlformats.org/officeDocument/2006/relationships/hyperlink" Id="rId16"/>
    <Relationship TargetMode="External" Target="https://www.legis.iowa.gov/docs/ico/chapter/35A.5.pdf" Type="http://schemas.openxmlformats.org/officeDocument/2006/relationships/hyperlink" Id="rId17"/>
    <Relationship TargetMode="External" Target="https://www.legis.iowa.gov/docs/ico/chapter/35B.19.pdf" Type="http://schemas.openxmlformats.org/officeDocument/2006/relationships/hyperlink" Id="rId18"/>
    <Relationship TargetMode="External" Target="https://www.legis.iowa.gov/docs/iac/chapter/801.1.pdf" Type="http://schemas.openxmlformats.org/officeDocument/2006/relationships/hyperlink" Id="rId19"/>
    <Relationship TargetMode="External" Target="https://www.legis.iowa.gov/docs/iac/chapter/801.17.pdf" Type="http://schemas.openxmlformats.org/officeDocument/2006/relationships/hyperlink" Id="rId20"/>
    <Relationship TargetMode="External" Target="https://www.legis.iowa.gov/docs/ico/chapter/17A.19.pdf" Type="http://schemas.openxmlformats.org/officeDocument/2006/relationships/hyperlink" Id="rId21"/>
    <Relationship TargetMode="External" Target="https://www.legis.iowa.gov/docs/ico/chapter/35.pdf" Type="http://schemas.openxmlformats.org/officeDocument/2006/relationships/hyperlink" Id="rId22"/>
    <Relationship TargetMode="External" Target="https://www.legis.iowa.gov/docs/ico/chapter/35A.pdf" Type="http://schemas.openxmlformats.org/officeDocument/2006/relationships/hyperlink" Id="rId23"/>
    <Relationship TargetMode="External" Target="https://www.legis.iowa.gov/docs/ico/chapter/35B.6.pdf" Type="http://schemas.openxmlformats.org/officeDocument/2006/relationships/hyperlink" Id="rId24"/>
    <Relationship TargetMode="External" Target="https://www.legis.iowa.gov/docs/ico/chapter/35B.11.pdf" Type="http://schemas.openxmlformats.org/officeDocument/2006/relationships/hyperlink" Id="rId25"/>
    <Relationship TargetMode="External" Target="https://www.legis.iowa.gov/docs/ico/chapter/35D.1.pdf" Type="http://schemas.openxmlformats.org/officeDocument/2006/relationships/hyperlink" Id="rId26"/>
    <Relationship TargetMode="External" Target="https://www.legis.iowa.gov/docs/ico/chapter/35D.17.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